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62" w:type="pct"/>
        <w:tblInd w:w="-176" w:type="dxa"/>
        <w:tblLook w:val="0000" w:firstRow="0" w:lastRow="0" w:firstColumn="0" w:lastColumn="0" w:noHBand="0" w:noVBand="0"/>
      </w:tblPr>
      <w:tblGrid>
        <w:gridCol w:w="5884"/>
        <w:gridCol w:w="8855"/>
      </w:tblGrid>
      <w:tr w:rsidR="004C4449" w:rsidRPr="004C4449" w14:paraId="60287198" w14:textId="77777777" w:rsidTr="00BE4A6B">
        <w:trPr>
          <w:trHeight w:val="340"/>
        </w:trPr>
        <w:tc>
          <w:tcPr>
            <w:tcW w:w="1996" w:type="pct"/>
          </w:tcPr>
          <w:p w14:paraId="0B4BB521" w14:textId="77777777" w:rsidR="004C4449" w:rsidRPr="009071B4" w:rsidRDefault="004C4449" w:rsidP="004C4449">
            <w:pPr>
              <w:spacing w:after="0" w:line="240" w:lineRule="auto"/>
              <w:jc w:val="center"/>
              <w:rPr>
                <w:rFonts w:ascii="Times New Roman" w:eastAsia="Times New Roman" w:hAnsi="Times New Roman" w:cs="Times New Roman"/>
                <w:b/>
                <w:kern w:val="0"/>
                <w:sz w:val="28"/>
                <w:szCs w:val="28"/>
                <w14:ligatures w14:val="none"/>
              </w:rPr>
            </w:pPr>
            <w:r w:rsidRPr="009071B4">
              <w:rPr>
                <w:rFonts w:ascii="Times New Roman" w:eastAsia="Times New Roman" w:hAnsi="Times New Roman" w:cs="Times New Roman"/>
                <w:kern w:val="0"/>
                <w:sz w:val="28"/>
                <w:szCs w:val="28"/>
                <w14:ligatures w14:val="none"/>
              </w:rPr>
              <w:br w:type="page"/>
            </w:r>
            <w:r w:rsidRPr="009071B4">
              <w:rPr>
                <w:rFonts w:ascii="Times New Roman" w:eastAsia="Times New Roman" w:hAnsi="Times New Roman" w:cs="Times New Roman"/>
                <w:b/>
                <w:kern w:val="0"/>
                <w:sz w:val="28"/>
                <w:szCs w:val="28"/>
                <w14:ligatures w14:val="none"/>
              </w:rPr>
              <w:t xml:space="preserve">BỘ CÔNG THƯƠNG </w:t>
            </w:r>
          </w:p>
        </w:tc>
        <w:tc>
          <w:tcPr>
            <w:tcW w:w="3004" w:type="pct"/>
          </w:tcPr>
          <w:p w14:paraId="72707AEB" w14:textId="77777777" w:rsidR="004C4449" w:rsidRPr="009071B4" w:rsidRDefault="004C4449" w:rsidP="004C4449">
            <w:pPr>
              <w:spacing w:after="0" w:line="240" w:lineRule="auto"/>
              <w:ind w:left="-99" w:right="-108"/>
              <w:jc w:val="center"/>
              <w:rPr>
                <w:rFonts w:ascii="Times New Roman" w:eastAsia="Times New Roman" w:hAnsi="Times New Roman" w:cs="Times New Roman"/>
                <w:b/>
                <w:kern w:val="0"/>
                <w:sz w:val="28"/>
                <w:szCs w:val="28"/>
                <w14:ligatures w14:val="none"/>
              </w:rPr>
            </w:pPr>
            <w:r w:rsidRPr="009071B4">
              <w:rPr>
                <w:rFonts w:ascii="Times New Roman" w:eastAsia="Times New Roman" w:hAnsi="Times New Roman" w:cs="Times New Roman"/>
                <w:b/>
                <w:kern w:val="0"/>
                <w:sz w:val="28"/>
                <w:szCs w:val="28"/>
                <w14:ligatures w14:val="none"/>
              </w:rPr>
              <w:t>CỘNG HOÀ XÃ HỘI CHỦ NGHĨA VIỆT NAM</w:t>
            </w:r>
          </w:p>
        </w:tc>
      </w:tr>
      <w:tr w:rsidR="004C4449" w:rsidRPr="004C4449" w14:paraId="797DEC79" w14:textId="77777777" w:rsidTr="00BE4A6B">
        <w:trPr>
          <w:trHeight w:val="340"/>
        </w:trPr>
        <w:tc>
          <w:tcPr>
            <w:tcW w:w="1996" w:type="pct"/>
          </w:tcPr>
          <w:p w14:paraId="0A9AC789" w14:textId="7E72766C" w:rsidR="004C4449" w:rsidRPr="009071B4" w:rsidRDefault="00677635" w:rsidP="004C4449">
            <w:pPr>
              <w:spacing w:after="0" w:line="240" w:lineRule="auto"/>
              <w:jc w:val="center"/>
              <w:rPr>
                <w:rFonts w:ascii="Times New Roman" w:eastAsia="Times New Roman" w:hAnsi="Times New Roman" w:cs="Times New Roman"/>
                <w:kern w:val="0"/>
                <w:sz w:val="28"/>
                <w:szCs w:val="28"/>
                <w14:ligatures w14:val="none"/>
              </w:rPr>
            </w:pPr>
            <w:r w:rsidRPr="009071B4">
              <w:rPr>
                <w:rFonts w:ascii="Times New Roman" w:eastAsia="Times New Roman" w:hAnsi="Times New Roman" w:cs="Times New Roman"/>
                <w:noProof/>
                <w:kern w:val="0"/>
                <w:sz w:val="28"/>
                <w:szCs w:val="28"/>
              </w:rPr>
              <mc:AlternateContent>
                <mc:Choice Requires="wps">
                  <w:drawing>
                    <wp:anchor distT="0" distB="0" distL="114300" distR="114300" simplePos="0" relativeHeight="251659264" behindDoc="0" locked="0" layoutInCell="1" allowOverlap="1" wp14:anchorId="08360619" wp14:editId="7397352C">
                      <wp:simplePos x="0" y="0"/>
                      <wp:positionH relativeFrom="column">
                        <wp:posOffset>1324012</wp:posOffset>
                      </wp:positionH>
                      <wp:positionV relativeFrom="paragraph">
                        <wp:posOffset>80944</wp:posOffset>
                      </wp:positionV>
                      <wp:extent cx="1000462" cy="0"/>
                      <wp:effectExtent l="0" t="0" r="0" b="0"/>
                      <wp:wrapNone/>
                      <wp:docPr id="1200781953" name="Straight Connector 1"/>
                      <wp:cNvGraphicFramePr/>
                      <a:graphic xmlns:a="http://schemas.openxmlformats.org/drawingml/2006/main">
                        <a:graphicData uri="http://schemas.microsoft.com/office/word/2010/wordprocessingShape">
                          <wps:wsp>
                            <wps:cNvCnPr/>
                            <wps:spPr>
                              <a:xfrm>
                                <a:off x="0" y="0"/>
                                <a:ext cx="10004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622AF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25pt,6.35pt" to="183.0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" strokecolor="black [3200]" strokeweight=".5pt">
                      <v:stroke joinstyle="miter"/>
                    </v:line>
                  </w:pict>
                </mc:Fallback>
              </mc:AlternateContent>
            </w:r>
          </w:p>
        </w:tc>
        <w:tc>
          <w:tcPr>
            <w:tcW w:w="3004" w:type="pct"/>
          </w:tcPr>
          <w:p w14:paraId="6EE59B26" w14:textId="77777777" w:rsidR="004C4449" w:rsidRPr="009071B4" w:rsidRDefault="004C4449" w:rsidP="004C4449">
            <w:pPr>
              <w:spacing w:after="0" w:line="240" w:lineRule="auto"/>
              <w:ind w:left="-99" w:right="-108"/>
              <w:jc w:val="center"/>
              <w:rPr>
                <w:rFonts w:ascii="Times New Roman" w:eastAsia="Times New Roman" w:hAnsi="Times New Roman" w:cs="Times New Roman"/>
                <w:b/>
                <w:kern w:val="0"/>
                <w:sz w:val="28"/>
                <w:szCs w:val="28"/>
                <w14:ligatures w14:val="none"/>
              </w:rPr>
            </w:pPr>
            <w:r w:rsidRPr="009071B4">
              <w:rPr>
                <w:rFonts w:ascii="Times New Roman" w:eastAsia="Times New Roman" w:hAnsi="Times New Roman" w:cs="Times New Roman"/>
                <w:b/>
                <w:kern w:val="0"/>
                <w:sz w:val="28"/>
                <w:szCs w:val="28"/>
                <w14:ligatures w14:val="none"/>
              </w:rPr>
              <w:t>Độc lập - Tự do - Hạnh phúc</w:t>
            </w:r>
          </w:p>
        </w:tc>
      </w:tr>
      <w:tr w:rsidR="004C4449" w:rsidRPr="004C4449" w14:paraId="79AE42EA" w14:textId="77777777" w:rsidTr="00BE4A6B">
        <w:trPr>
          <w:trHeight w:val="374"/>
        </w:trPr>
        <w:tc>
          <w:tcPr>
            <w:tcW w:w="1996" w:type="pct"/>
          </w:tcPr>
          <w:p w14:paraId="6EE5DEE8" w14:textId="076DDEF9" w:rsidR="004C4449" w:rsidRPr="009071B4" w:rsidRDefault="004C4449" w:rsidP="004C4449">
            <w:pPr>
              <w:spacing w:after="0" w:line="240" w:lineRule="auto"/>
              <w:jc w:val="center"/>
              <w:rPr>
                <w:rFonts w:ascii="Times New Roman" w:eastAsia="Times New Roman" w:hAnsi="Times New Roman" w:cs="Times New Roman"/>
                <w:kern w:val="0"/>
                <w:sz w:val="28"/>
                <w:szCs w:val="28"/>
                <w14:ligatures w14:val="none"/>
              </w:rPr>
            </w:pPr>
          </w:p>
        </w:tc>
        <w:tc>
          <w:tcPr>
            <w:tcW w:w="3004" w:type="pct"/>
          </w:tcPr>
          <w:p w14:paraId="03A55B5A" w14:textId="09423FD5" w:rsidR="004C4449" w:rsidRPr="009071B4" w:rsidRDefault="009071B4" w:rsidP="004C4449">
            <w:pPr>
              <w:spacing w:after="0" w:line="240" w:lineRule="auto"/>
              <w:ind w:left="-99" w:right="-108"/>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noProof/>
                <w:kern w:val="0"/>
                <w:sz w:val="28"/>
                <w:szCs w:val="28"/>
              </w:rPr>
              <mc:AlternateContent>
                <mc:Choice Requires="wps">
                  <w:drawing>
                    <wp:anchor distT="0" distB="0" distL="114300" distR="114300" simplePos="0" relativeHeight="251660288" behindDoc="0" locked="0" layoutInCell="1" allowOverlap="1" wp14:anchorId="4D9782E7" wp14:editId="3E8AD244">
                      <wp:simplePos x="0" y="0"/>
                      <wp:positionH relativeFrom="column">
                        <wp:posOffset>1605990</wp:posOffset>
                      </wp:positionH>
                      <wp:positionV relativeFrom="paragraph">
                        <wp:posOffset>9936</wp:posOffset>
                      </wp:positionV>
                      <wp:extent cx="2248348" cy="0"/>
                      <wp:effectExtent l="0" t="0" r="0" b="0"/>
                      <wp:wrapNone/>
                      <wp:docPr id="1720753239" name="Straight Connector 2"/>
                      <wp:cNvGraphicFramePr/>
                      <a:graphic xmlns:a="http://schemas.openxmlformats.org/drawingml/2006/main">
                        <a:graphicData uri="http://schemas.microsoft.com/office/word/2010/wordprocessingShape">
                          <wps:wsp>
                            <wps:cNvCnPr/>
                            <wps:spPr>
                              <a:xfrm>
                                <a:off x="0" y="0"/>
                                <a:ext cx="22483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F89A41B"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6.45pt,.8pt" to="30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" strokecolor="black [3200]" strokeweight=".5pt">
                      <v:stroke joinstyle="miter"/>
                    </v:line>
                  </w:pict>
                </mc:Fallback>
              </mc:AlternateContent>
            </w:r>
          </w:p>
        </w:tc>
      </w:tr>
      <w:tr w:rsidR="004C4449" w:rsidRPr="004C4449" w14:paraId="1E1A819A" w14:textId="77777777" w:rsidTr="00BE4A6B">
        <w:tc>
          <w:tcPr>
            <w:tcW w:w="1996" w:type="pct"/>
          </w:tcPr>
          <w:p w14:paraId="2D4A0631" w14:textId="77777777" w:rsidR="004C4449" w:rsidRPr="009071B4" w:rsidRDefault="004C4449" w:rsidP="004C4449">
            <w:pPr>
              <w:spacing w:before="120" w:after="0" w:line="240" w:lineRule="auto"/>
              <w:jc w:val="center"/>
              <w:rPr>
                <w:rFonts w:ascii="Times New Roman" w:eastAsia="Times New Roman" w:hAnsi="Times New Roman" w:cs="Times New Roman"/>
                <w:kern w:val="0"/>
                <w:sz w:val="28"/>
                <w:szCs w:val="28"/>
                <w14:ligatures w14:val="none"/>
              </w:rPr>
            </w:pPr>
          </w:p>
        </w:tc>
        <w:tc>
          <w:tcPr>
            <w:tcW w:w="3004" w:type="pct"/>
          </w:tcPr>
          <w:p w14:paraId="0BDC50F5" w14:textId="1F3184E6" w:rsidR="004C4449" w:rsidRPr="009071B4" w:rsidRDefault="004C4449" w:rsidP="004C4449">
            <w:pPr>
              <w:spacing w:after="0" w:line="240" w:lineRule="auto"/>
              <w:ind w:right="-48"/>
              <w:jc w:val="center"/>
              <w:rPr>
                <w:rFonts w:ascii="Times New Roman" w:eastAsia="Times New Roman" w:hAnsi="Times New Roman" w:cs="Times New Roman"/>
                <w:i/>
                <w:kern w:val="0"/>
                <w:sz w:val="28"/>
                <w:szCs w:val="28"/>
                <w14:ligatures w14:val="none"/>
              </w:rPr>
            </w:pPr>
            <w:r w:rsidRPr="009071B4">
              <w:rPr>
                <w:rFonts w:ascii="Times New Roman" w:eastAsia="Times New Roman" w:hAnsi="Times New Roman" w:cs="Times New Roman"/>
                <w:i/>
                <w:kern w:val="0"/>
                <w:sz w:val="28"/>
                <w:szCs w:val="28"/>
                <w14:ligatures w14:val="none"/>
              </w:rPr>
              <w:t xml:space="preserve">Hà Nội, ngày      tháng </w:t>
            </w:r>
            <w:r w:rsidR="00677635" w:rsidRPr="009071B4">
              <w:rPr>
                <w:rFonts w:ascii="Times New Roman" w:eastAsia="Times New Roman" w:hAnsi="Times New Roman" w:cs="Times New Roman"/>
                <w:i/>
                <w:kern w:val="0"/>
                <w:sz w:val="28"/>
                <w:szCs w:val="28"/>
                <w14:ligatures w14:val="none"/>
              </w:rPr>
              <w:t>9</w:t>
            </w:r>
            <w:r w:rsidRPr="009071B4">
              <w:rPr>
                <w:rFonts w:ascii="Times New Roman" w:eastAsia="Times New Roman" w:hAnsi="Times New Roman" w:cs="Times New Roman"/>
                <w:i/>
                <w:kern w:val="0"/>
                <w:sz w:val="28"/>
                <w:szCs w:val="28"/>
                <w14:ligatures w14:val="none"/>
              </w:rPr>
              <w:t xml:space="preserve"> năm 2025</w:t>
            </w:r>
          </w:p>
        </w:tc>
      </w:tr>
    </w:tbl>
    <w:p w14:paraId="1006A1E6" w14:textId="77777777" w:rsidR="004C4449" w:rsidRDefault="004C4449" w:rsidP="00D51912">
      <w:pPr>
        <w:spacing w:before="120" w:after="120" w:line="240" w:lineRule="auto"/>
        <w:jc w:val="center"/>
        <w:rPr>
          <w:rFonts w:ascii="Times New Roman" w:hAnsi="Times New Roman" w:cs="Times New Roman"/>
          <w:b/>
          <w:bCs/>
          <w:sz w:val="28"/>
          <w:szCs w:val="28"/>
        </w:rPr>
      </w:pPr>
    </w:p>
    <w:p w14:paraId="07DEF2EB" w14:textId="2379FFFA" w:rsidR="00D51912" w:rsidRPr="00D15F0D" w:rsidRDefault="004C4449" w:rsidP="00D51912">
      <w:pPr>
        <w:spacing w:before="120" w:after="120" w:line="240" w:lineRule="auto"/>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BẢN THUYẾT MINH QUY PHẠM HÓA CHÍNH SÁCH </w:t>
      </w:r>
      <w:r w:rsidR="00677635" w:rsidRPr="00D15F0D">
        <w:rPr>
          <w:rFonts w:ascii="Times New Roman" w:hAnsi="Times New Roman" w:cs="Times New Roman"/>
          <w:b/>
          <w:bCs/>
          <w:sz w:val="28"/>
          <w:szCs w:val="28"/>
        </w:rPr>
        <w:t>CỦA</w:t>
      </w:r>
      <w:r w:rsidRPr="00D15F0D">
        <w:rPr>
          <w:rFonts w:ascii="Times New Roman" w:hAnsi="Times New Roman" w:cs="Times New Roman"/>
          <w:b/>
          <w:bCs/>
          <w:sz w:val="28"/>
          <w:szCs w:val="28"/>
        </w:rPr>
        <w:t xml:space="preserve"> LUẬT GIAO DỊCH HÀNG HÓA PHÁI SINH</w:t>
      </w:r>
    </w:p>
    <w:p w14:paraId="2EF21F8B" w14:textId="77777777" w:rsidR="00E23A71" w:rsidRDefault="00E23A71" w:rsidP="00D51912">
      <w:pPr>
        <w:spacing w:before="120" w:after="120" w:line="240" w:lineRule="auto"/>
        <w:jc w:val="center"/>
        <w:rPr>
          <w:rFonts w:ascii="Times New Roman" w:hAnsi="Times New Roman" w:cs="Times New Roman"/>
          <w:b/>
          <w:bCs/>
          <w:sz w:val="28"/>
          <w:szCs w:val="28"/>
        </w:rPr>
      </w:pPr>
    </w:p>
    <w:tbl>
      <w:tblPr>
        <w:tblStyle w:val="TableGrid"/>
        <w:tblW w:w="13608" w:type="dxa"/>
        <w:tblInd w:w="137" w:type="dxa"/>
        <w:tblLook w:val="04A0" w:firstRow="1" w:lastRow="0" w:firstColumn="1" w:lastColumn="0" w:noHBand="0" w:noVBand="1"/>
      </w:tblPr>
      <w:tblGrid>
        <w:gridCol w:w="3260"/>
        <w:gridCol w:w="4253"/>
        <w:gridCol w:w="6095"/>
      </w:tblGrid>
      <w:tr w:rsidR="00E23A71" w:rsidRPr="00D15F0D" w14:paraId="2873F9E9" w14:textId="77777777" w:rsidTr="00C45A23">
        <w:tc>
          <w:tcPr>
            <w:tcW w:w="3260" w:type="dxa"/>
          </w:tcPr>
          <w:p w14:paraId="649D96B8" w14:textId="3F54E8B2" w:rsidR="00E23A71" w:rsidRPr="00D15F0D" w:rsidRDefault="00E23A71" w:rsidP="00D51912">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TÊN CHÍNH SÁCH</w:t>
            </w:r>
          </w:p>
        </w:tc>
        <w:tc>
          <w:tcPr>
            <w:tcW w:w="4253" w:type="dxa"/>
          </w:tcPr>
          <w:p w14:paraId="0CABFC12" w14:textId="7798AA31" w:rsidR="00E23A71" w:rsidRPr="00D15F0D" w:rsidRDefault="00E23A71" w:rsidP="00D51912">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NỘI DUNG CHÍNH SÁCH </w:t>
            </w:r>
          </w:p>
        </w:tc>
        <w:tc>
          <w:tcPr>
            <w:tcW w:w="6095" w:type="dxa"/>
          </w:tcPr>
          <w:p w14:paraId="3CF1EF3E" w14:textId="6642A851" w:rsidR="00E23A71" w:rsidRPr="00D15F0D" w:rsidRDefault="00E23A71" w:rsidP="00D51912">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DỰ KIẾN QUY ĐỊNH</w:t>
            </w:r>
          </w:p>
        </w:tc>
      </w:tr>
      <w:tr w:rsidR="00E57709" w:rsidRPr="00D15F0D" w14:paraId="4882501E" w14:textId="77777777" w:rsidTr="00C45A23">
        <w:tc>
          <w:tcPr>
            <w:tcW w:w="3260" w:type="dxa"/>
            <w:vMerge w:val="restart"/>
            <w:vAlign w:val="center"/>
          </w:tcPr>
          <w:p w14:paraId="5792CC01" w14:textId="77777777" w:rsidR="00E57709" w:rsidRPr="00D15F0D" w:rsidRDefault="00E57709" w:rsidP="00677635">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Chính sách 1:</w:t>
            </w:r>
          </w:p>
          <w:p w14:paraId="70507B39" w14:textId="35A91BFA" w:rsidR="00E57709" w:rsidRPr="00D15F0D" w:rsidRDefault="00E57709" w:rsidP="00677635">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Quy định về phạm vi điều chỉnh, định nghĩa, nguyên tắc quản lý và định hướng phát triển thị trường</w:t>
            </w:r>
          </w:p>
        </w:tc>
        <w:tc>
          <w:tcPr>
            <w:tcW w:w="4253" w:type="dxa"/>
          </w:tcPr>
          <w:p w14:paraId="5A943004" w14:textId="103F04CB"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phạm vi điều chỉnh và chủ thể áp dụng</w:t>
            </w:r>
          </w:p>
        </w:tc>
        <w:tc>
          <w:tcPr>
            <w:tcW w:w="6095" w:type="dxa"/>
          </w:tcPr>
          <w:p w14:paraId="400FC83D" w14:textId="77777777" w:rsidR="00E57709" w:rsidRPr="00D15F0D" w:rsidRDefault="00E57709" w:rsidP="0067763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Xác định rõ phạm vi điều chỉnh của Luật: điều chỉnh hoạt động giao dịch hàng hóa phái sinh; tổ chức, quản lý, giám sát thị trường hàng hóa phái sinh; quyền và nghĩa vụ của các chủ thể tham gia.</w:t>
            </w:r>
          </w:p>
          <w:p w14:paraId="02030277" w14:textId="7EAACBFA" w:rsidR="00E57709" w:rsidRPr="00D15F0D" w:rsidRDefault="00E57709" w:rsidP="0067763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đối tượng áp dụng: Sở giao dịch hàng hóa phái sinh, thành viên giao dịch, thành viên bù trừ, nhà đầu tư, tổ chức cung cấp dịch vụ liên quan (lưu ký, thanh toán, giám sát), cơ quan quản lý nhà nước và các tổ chức, cá nhân khác có liên quan đến hoạt động giao dịch hàng hóa phái sinh.</w:t>
            </w:r>
          </w:p>
        </w:tc>
      </w:tr>
      <w:tr w:rsidR="00E57709" w:rsidRPr="00D15F0D" w14:paraId="458B2AF3" w14:textId="77777777" w:rsidTr="00C45A23">
        <w:tc>
          <w:tcPr>
            <w:tcW w:w="3260" w:type="dxa"/>
            <w:vMerge/>
            <w:vAlign w:val="center"/>
          </w:tcPr>
          <w:p w14:paraId="4A487447" w14:textId="1286C727" w:rsidR="00E57709" w:rsidRPr="00D15F0D" w:rsidRDefault="00E57709" w:rsidP="00677635">
            <w:pPr>
              <w:spacing w:before="120" w:after="120"/>
              <w:jc w:val="center"/>
              <w:rPr>
                <w:rFonts w:ascii="Times New Roman" w:hAnsi="Times New Roman" w:cs="Times New Roman"/>
                <w:b/>
                <w:bCs/>
                <w:sz w:val="28"/>
                <w:szCs w:val="28"/>
              </w:rPr>
            </w:pPr>
          </w:p>
        </w:tc>
        <w:tc>
          <w:tcPr>
            <w:tcW w:w="4253" w:type="dxa"/>
          </w:tcPr>
          <w:p w14:paraId="58A1AF6B" w14:textId="6B7F73E5"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phạm hóa nhóm khái niệm liên quan đến hoạt động giao dịch hàng hóa phái sinh</w:t>
            </w:r>
          </w:p>
        </w:tc>
        <w:tc>
          <w:tcPr>
            <w:tcW w:w="6095" w:type="dxa"/>
          </w:tcPr>
          <w:p w14:paraId="5A1D718D" w14:textId="0EAAEC0F" w:rsidR="00E57709" w:rsidRPr="00D15F0D" w:rsidRDefault="00E57709" w:rsidP="00F218B9">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phạm hóa các khái niệm liên quan đến giao dịch hàng hóa phái sinh, dự kiến tập trung quy phạm hóa các khái niệm như: Hợp đồng hàng hóa phái sinh (futures, options, swaps…); Sở giao dịch hàng hóa phái sinh</w:t>
            </w:r>
            <w:r w:rsidR="006620CA" w:rsidRPr="00D15F0D">
              <w:rPr>
                <w:rFonts w:ascii="Times New Roman" w:hAnsi="Times New Roman" w:cs="Times New Roman"/>
                <w:sz w:val="28"/>
                <w:szCs w:val="28"/>
              </w:rPr>
              <w:t>, Sàn giao dịch hàng hóa phái sinh chuyên biệt</w:t>
            </w:r>
            <w:r w:rsidRPr="00D15F0D">
              <w:rPr>
                <w:rFonts w:ascii="Times New Roman" w:hAnsi="Times New Roman" w:cs="Times New Roman"/>
                <w:sz w:val="28"/>
                <w:szCs w:val="28"/>
              </w:rPr>
              <w:t xml:space="preserve">; Thành viên giao dịch, thành viên bù trừ, nhà đầu tư; Ký quỹ, quỹ bù trừ, thanh toán bù trừ; vị thế mở, giới hạn vị thế,… đảm bảo phù hợp với thông lệ quốc </w:t>
            </w:r>
            <w:r w:rsidRPr="00D15F0D">
              <w:rPr>
                <w:rFonts w:ascii="Times New Roman" w:hAnsi="Times New Roman" w:cs="Times New Roman"/>
                <w:sz w:val="28"/>
                <w:szCs w:val="28"/>
              </w:rPr>
              <w:lastRenderedPageBreak/>
              <w:t>tế (ví dụ: quy định của IOSCO, CFTC Mỹ, ESMA châu Âu).</w:t>
            </w:r>
          </w:p>
          <w:p w14:paraId="4DD37DBA" w14:textId="07B9F3EB" w:rsidR="00E57709" w:rsidRPr="00D15F0D" w:rsidRDefault="00E57709" w:rsidP="00F218B9">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Có thể giao Chính phủ quy định bổ sung, cập nhật khái niệm mới theo sự phát triển thị trường.</w:t>
            </w:r>
          </w:p>
        </w:tc>
      </w:tr>
      <w:tr w:rsidR="00E57709" w:rsidRPr="00D15F0D" w14:paraId="2F038DA3" w14:textId="77777777" w:rsidTr="00C45A23">
        <w:tc>
          <w:tcPr>
            <w:tcW w:w="3260" w:type="dxa"/>
            <w:vMerge/>
            <w:vAlign w:val="center"/>
          </w:tcPr>
          <w:p w14:paraId="06FB9914" w14:textId="1F8CE4C8" w:rsidR="00E57709" w:rsidRPr="00D15F0D" w:rsidRDefault="00E57709" w:rsidP="00677635">
            <w:pPr>
              <w:spacing w:before="120" w:after="120"/>
              <w:jc w:val="center"/>
              <w:rPr>
                <w:rFonts w:ascii="Times New Roman" w:hAnsi="Times New Roman" w:cs="Times New Roman"/>
                <w:b/>
                <w:bCs/>
                <w:sz w:val="28"/>
                <w:szCs w:val="28"/>
              </w:rPr>
            </w:pPr>
          </w:p>
        </w:tc>
        <w:tc>
          <w:tcPr>
            <w:tcW w:w="4253" w:type="dxa"/>
          </w:tcPr>
          <w:p w14:paraId="7D2C3DD9" w14:textId="3DBD55F4"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nguyên tắc pháp lý điều chỉnh hoạt động giao dịch hàng hóa phái sinh</w:t>
            </w:r>
          </w:p>
        </w:tc>
        <w:tc>
          <w:tcPr>
            <w:tcW w:w="6095" w:type="dxa"/>
          </w:tcPr>
          <w:p w14:paraId="332FEB5A" w14:textId="77777777"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Luật sẽ quy định khung các nguyên tắc cơ bản điều chỉnh hoạt động giao dịch hàng hóa phái sinh, bảo đảm tính trung thực, công khai, minh bạch, công bằng, cạnh tranh lành mạnh; an toàn tài chính và quản trị rủi ro; tách bạch tài sản của khách hàng với tài sản của thành viên; bảo vệ quyền và lợi ích hợp pháp của nhà đầu tư.</w:t>
            </w:r>
          </w:p>
          <w:p w14:paraId="254DA6C5" w14:textId="5064B9EB"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Các nguyên tắc này được quy định mang tính định hướng trong Luật, còn chi tiết về cơ chế quản lý rủi ro, phương thức tách bạch tài sản và các biện pháp bảo vệ nhà đầu tư sẽ giao Chính phủ và các Bộ, ngành liên quan quy định cụ thể bằng văn bản dưới luật để bảo đảm tính linh hoạt, phù hợp với diễn biến của thị trường và thông lệ quốc tế.</w:t>
            </w:r>
          </w:p>
        </w:tc>
      </w:tr>
      <w:tr w:rsidR="00E57709" w:rsidRPr="00D15F0D" w14:paraId="23B50427" w14:textId="77777777" w:rsidTr="00C45A23">
        <w:tc>
          <w:tcPr>
            <w:tcW w:w="3260" w:type="dxa"/>
            <w:vMerge/>
            <w:vAlign w:val="center"/>
          </w:tcPr>
          <w:p w14:paraId="365D774A" w14:textId="742421E4" w:rsidR="00E57709" w:rsidRPr="00D15F0D" w:rsidRDefault="00E57709" w:rsidP="00677635">
            <w:pPr>
              <w:spacing w:before="120" w:after="120"/>
              <w:jc w:val="center"/>
              <w:rPr>
                <w:rFonts w:ascii="Times New Roman" w:hAnsi="Times New Roman" w:cs="Times New Roman"/>
                <w:b/>
                <w:bCs/>
                <w:sz w:val="28"/>
                <w:szCs w:val="28"/>
              </w:rPr>
            </w:pPr>
          </w:p>
        </w:tc>
        <w:tc>
          <w:tcPr>
            <w:tcW w:w="4253" w:type="dxa"/>
          </w:tcPr>
          <w:p w14:paraId="3AB619E4" w14:textId="40DB050B"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Quy định về định hướng chính sách phát triển thị trường hàng hóa phái sinh </w:t>
            </w:r>
          </w:p>
        </w:tc>
        <w:tc>
          <w:tcPr>
            <w:tcW w:w="6095" w:type="dxa"/>
          </w:tcPr>
          <w:p w14:paraId="26DB3716" w14:textId="77777777"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Xác định các định hướng lớn của Nhà nước trong việc phát triển thị trường hàng hóa phái sinh theo nguyên tắc an toàn, bền vững và hội nhập quốc tế. Các định hướng này tập trung vào việc khuyến khích, tạo điều kiện cho các tổ chức trong nước và nước ngoài tham gia thị trường; ưu tiên đầu tư, phát triển hạ tầng công nghệ, hệ thống thanh toán bù trừ hiện đại; đồng thời hỗ trợ đào tạo nguồn nhân lực, nâng cao nhận thức xã hội và phát triển sản phẩm phái sinh gắn với nhu cầu quản trị rủi ro của doanh nghiệp.</w:t>
            </w:r>
          </w:p>
          <w:p w14:paraId="770C08A8" w14:textId="421B2806"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lastRenderedPageBreak/>
              <w:t>Các chính sách cụ thể về cơ chế ưu đãi, hỗ trợ về thuế, công nghệ và đào tạo nhân lực sẽ giao Chính phủ quy định chi tiết bằng Nghị định để bảo đảm tính linh hoạt và phù hợp với yêu cầu thực tiễn.</w:t>
            </w:r>
          </w:p>
        </w:tc>
      </w:tr>
      <w:tr w:rsidR="00E57709" w:rsidRPr="00D15F0D" w14:paraId="5D81471E" w14:textId="77777777" w:rsidTr="00C45A23">
        <w:tc>
          <w:tcPr>
            <w:tcW w:w="3260" w:type="dxa"/>
            <w:vMerge/>
            <w:vAlign w:val="center"/>
          </w:tcPr>
          <w:p w14:paraId="1101FF5B" w14:textId="603354BE" w:rsidR="00E57709" w:rsidRPr="00D15F0D" w:rsidRDefault="00E57709" w:rsidP="00677635">
            <w:pPr>
              <w:spacing w:before="120" w:after="120"/>
              <w:jc w:val="center"/>
              <w:rPr>
                <w:rFonts w:ascii="Times New Roman" w:hAnsi="Times New Roman" w:cs="Times New Roman"/>
                <w:b/>
                <w:bCs/>
                <w:sz w:val="28"/>
                <w:szCs w:val="28"/>
              </w:rPr>
            </w:pPr>
          </w:p>
        </w:tc>
        <w:tc>
          <w:tcPr>
            <w:tcW w:w="4253" w:type="dxa"/>
          </w:tcPr>
          <w:p w14:paraId="14AE0826" w14:textId="18F58F64"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các hành vi bị nghiêm cấm trong hoạt động giao dịch hàng hóa phái sinh</w:t>
            </w:r>
          </w:p>
        </w:tc>
        <w:tc>
          <w:tcPr>
            <w:tcW w:w="6095" w:type="dxa"/>
          </w:tcPr>
          <w:p w14:paraId="644E26E8" w14:textId="67F8B661"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khung các hành vi bị nghiêm cấm trong hoạt động giao dịch hàng hóa phái sinh, bao gồm các hành vi thao túng thị trường, giao dịch nội gián, cung cấp thông tin sai lệch, giả mạo hồ sơ, lạm dụng tín nhiệm, chiếm dụng tài sản của khách hàng, giao dịch vượt giới hạn hoặc vi phạm quy định về ký quỹ, bù trừ. Quy định này nhằm bảo đảm sự đồng bộ với các hành vi bị cấm trong Luật Chứng khoán, Luật Cạnh tranh và Luật Phòng, chống rửa tiền.</w:t>
            </w:r>
          </w:p>
          <w:p w14:paraId="737B5538" w14:textId="29D04415" w:rsidR="00E57709" w:rsidRPr="00D15F0D" w:rsidRDefault="00E57709"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Giao Chính phủ quy định chi tiết tại Nghị định về dấu hiệu nhận diện hành vi vi phạm, hình thức và mức xử phạt, cũng như biện pháp khắc phục hậu quả, bảo đảm tính khả thi, minh bạch và phù hợp với thực tiễn thị trường.</w:t>
            </w:r>
          </w:p>
        </w:tc>
      </w:tr>
      <w:tr w:rsidR="005124FE" w:rsidRPr="00D15F0D" w14:paraId="6DBC9240" w14:textId="77777777" w:rsidTr="00C45A23">
        <w:tc>
          <w:tcPr>
            <w:tcW w:w="3260" w:type="dxa"/>
            <w:vMerge w:val="restart"/>
            <w:vAlign w:val="center"/>
          </w:tcPr>
          <w:p w14:paraId="0A525CCD" w14:textId="366D2095" w:rsidR="005124FE" w:rsidRPr="00D15F0D" w:rsidRDefault="005124FE" w:rsidP="001C2249">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Chính sách 2:</w:t>
            </w:r>
          </w:p>
          <w:p w14:paraId="2402EBA0" w14:textId="269D1EE6" w:rsidR="005124FE" w:rsidRPr="00D15F0D" w:rsidRDefault="005124FE" w:rsidP="001C2249">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Quy định về quản lý nhà nước</w:t>
            </w:r>
            <w:r w:rsidR="00D15F0D" w:rsidRPr="00D15F0D">
              <w:rPr>
                <w:rFonts w:ascii="Times New Roman" w:hAnsi="Times New Roman" w:cs="Times New Roman"/>
                <w:b/>
                <w:bCs/>
                <w:sz w:val="28"/>
                <w:szCs w:val="28"/>
              </w:rPr>
              <w:t>, cơ quan quản lý chuyên ngành</w:t>
            </w:r>
            <w:r w:rsidR="00D9006A" w:rsidRPr="00D15F0D">
              <w:rPr>
                <w:rFonts w:ascii="Times New Roman" w:hAnsi="Times New Roman" w:cs="Times New Roman"/>
                <w:b/>
                <w:bCs/>
                <w:sz w:val="28"/>
                <w:szCs w:val="28"/>
              </w:rPr>
              <w:t xml:space="preserve"> và </w:t>
            </w:r>
            <w:r w:rsidRPr="00D15F0D">
              <w:rPr>
                <w:rFonts w:ascii="Times New Roman" w:hAnsi="Times New Roman" w:cs="Times New Roman"/>
                <w:b/>
                <w:bCs/>
                <w:sz w:val="28"/>
                <w:szCs w:val="28"/>
              </w:rPr>
              <w:t>tổ chức</w:t>
            </w:r>
            <w:r w:rsidR="00D15F0D" w:rsidRPr="00D15F0D">
              <w:rPr>
                <w:rFonts w:ascii="Times New Roman" w:hAnsi="Times New Roman" w:cs="Times New Roman"/>
                <w:b/>
                <w:bCs/>
                <w:sz w:val="28"/>
                <w:szCs w:val="28"/>
              </w:rPr>
              <w:t xml:space="preserve"> xã hội -</w:t>
            </w:r>
            <w:r w:rsidRPr="00D15F0D">
              <w:rPr>
                <w:rFonts w:ascii="Times New Roman" w:hAnsi="Times New Roman" w:cs="Times New Roman"/>
                <w:b/>
                <w:bCs/>
                <w:sz w:val="28"/>
                <w:szCs w:val="28"/>
              </w:rPr>
              <w:t xml:space="preserve"> nghề nghiệp</w:t>
            </w:r>
          </w:p>
        </w:tc>
        <w:tc>
          <w:tcPr>
            <w:tcW w:w="4253" w:type="dxa"/>
          </w:tcPr>
          <w:p w14:paraId="1F1624F4" w14:textId="7A7D5F48" w:rsidR="005124FE" w:rsidRPr="00D15F0D" w:rsidRDefault="005124FE" w:rsidP="001C2249">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Xác định cơ quan chủ trì quản lý hoạt động giao dịch hàng hóa phái sinh</w:t>
            </w:r>
          </w:p>
        </w:tc>
        <w:tc>
          <w:tcPr>
            <w:tcW w:w="6095" w:type="dxa"/>
          </w:tcPr>
          <w:p w14:paraId="2F947796" w14:textId="016B1E8F" w:rsidR="005124FE" w:rsidRPr="00D15F0D" w:rsidRDefault="005124FE" w:rsidP="001C2249">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Dự thảo quy định về việc thành lập Ủy ban giao dịch hàng hóa phái sinh, một cơ quan chuyên trách tương đối độc lập trực thuộc Chính phủ/hoặc Bộ Công Thương, thực hiện chức năng giám sát, quản lý vận hành thị trường, bảo đảm tính khách quan, minh bạch và hạn chế xung đột lợi ích. Quy định này vừa phân định rõ thẩm quyền, vừa tạo cơ chế quản lý chuyên sâu, nâng cao hiệu quả giám sát thị trường.</w:t>
            </w:r>
          </w:p>
        </w:tc>
      </w:tr>
      <w:tr w:rsidR="005124FE" w:rsidRPr="00D15F0D" w14:paraId="12DA9F3F" w14:textId="77777777" w:rsidTr="00C45A23">
        <w:tc>
          <w:tcPr>
            <w:tcW w:w="3260" w:type="dxa"/>
            <w:vMerge/>
            <w:vAlign w:val="center"/>
          </w:tcPr>
          <w:p w14:paraId="76439C81" w14:textId="77777777" w:rsidR="005124FE" w:rsidRPr="00D15F0D" w:rsidRDefault="005124FE" w:rsidP="001C2249">
            <w:pPr>
              <w:spacing w:before="120" w:after="120"/>
              <w:jc w:val="center"/>
              <w:rPr>
                <w:rFonts w:ascii="Times New Roman" w:hAnsi="Times New Roman" w:cs="Times New Roman"/>
                <w:b/>
                <w:bCs/>
                <w:sz w:val="28"/>
                <w:szCs w:val="28"/>
              </w:rPr>
            </w:pPr>
          </w:p>
        </w:tc>
        <w:tc>
          <w:tcPr>
            <w:tcW w:w="4253" w:type="dxa"/>
          </w:tcPr>
          <w:p w14:paraId="1373A075" w14:textId="4B1B18D6" w:rsidR="005124FE" w:rsidRPr="00D15F0D" w:rsidRDefault="005124FE" w:rsidP="001C2249">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Quy định về tổ chức </w:t>
            </w:r>
            <w:r w:rsidR="00D15F0D" w:rsidRPr="00D15F0D">
              <w:rPr>
                <w:rFonts w:ascii="Times New Roman" w:hAnsi="Times New Roman" w:cs="Times New Roman"/>
                <w:sz w:val="28"/>
                <w:szCs w:val="28"/>
              </w:rPr>
              <w:t xml:space="preserve">xã hội - </w:t>
            </w:r>
            <w:r w:rsidRPr="00D15F0D">
              <w:rPr>
                <w:rFonts w:ascii="Times New Roman" w:hAnsi="Times New Roman" w:cs="Times New Roman"/>
                <w:sz w:val="28"/>
                <w:szCs w:val="28"/>
              </w:rPr>
              <w:t xml:space="preserve">nghề nghiệp (hiệp hội, hội môi giới) trong </w:t>
            </w:r>
            <w:r w:rsidRPr="00D15F0D">
              <w:rPr>
                <w:rFonts w:ascii="Times New Roman" w:hAnsi="Times New Roman" w:cs="Times New Roman"/>
                <w:sz w:val="28"/>
                <w:szCs w:val="28"/>
              </w:rPr>
              <w:lastRenderedPageBreak/>
              <w:t>xây dựng chuẩn nghề, đào tạo, tự quản và phối hợp giám sát.</w:t>
            </w:r>
          </w:p>
          <w:p w14:paraId="1AD7F96D" w14:textId="77777777" w:rsidR="005124FE" w:rsidRPr="00D15F0D" w:rsidRDefault="005124FE" w:rsidP="001C2249">
            <w:pPr>
              <w:spacing w:before="120" w:after="120"/>
              <w:jc w:val="both"/>
              <w:rPr>
                <w:rFonts w:ascii="Times New Roman" w:hAnsi="Times New Roman" w:cs="Times New Roman"/>
                <w:sz w:val="28"/>
                <w:szCs w:val="28"/>
              </w:rPr>
            </w:pPr>
          </w:p>
        </w:tc>
        <w:tc>
          <w:tcPr>
            <w:tcW w:w="6095" w:type="dxa"/>
          </w:tcPr>
          <w:p w14:paraId="6A88881D" w14:textId="55DF559C" w:rsidR="005124FE" w:rsidRPr="00D15F0D" w:rsidRDefault="005124FE" w:rsidP="001C2249">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lastRenderedPageBreak/>
              <w:t xml:space="preserve">Để phát triển thị trường hàng hóa phái sinh bền vững, minh bạch và chuyên nghiệp, cần công nhận và tạo </w:t>
            </w:r>
            <w:r w:rsidRPr="00D15F0D">
              <w:rPr>
                <w:rFonts w:ascii="Times New Roman" w:hAnsi="Times New Roman" w:cs="Times New Roman"/>
                <w:sz w:val="28"/>
                <w:szCs w:val="28"/>
              </w:rPr>
              <w:lastRenderedPageBreak/>
              <w:t>hành lang pháp lý cho các tổ chức xã hội – nghề nghiệp (hiệp hội, hội môi giới, hội tư vấn...) hoạt động trong lĩnh vực này. Các tổ chức được thành lập theo quy định của pháp luật, hoạt động dưới sự giám sát của Bộ Công Thương, có vai trò hỗ trợ Nhà nước và thị trường trong các khâu: đào tạo, bồi dưỡng và cấp chứng chỉ hành nghề cho môi giới, tư vấn; xây dựng, ban hành và giám sát việc thực hiện bộ chuẩn mực đạo đức nghề nghiệp; tham gia ý kiến đối với dự thảo chính sách; phối hợp tuyên truyền, nâng cao nhận thức cho doanh nghiệp và nhà đầu tư; đồng thời thực hiện trách nhiệm báo cáo định kỳ cho cơ quan quản lý nhà nước. Quy định này vừa góp phần nâng cao tính tự quản, chuyên môn hóa trong cộng đồng nghề nghiệp, vừa tăng cường hiệu quả giám sát và bảo vệ quyền lợi chính đáng của các bên tham gia thị trường.</w:t>
            </w:r>
          </w:p>
        </w:tc>
      </w:tr>
      <w:tr w:rsidR="0008251E" w:rsidRPr="00D15F0D" w14:paraId="2E792984" w14:textId="77777777" w:rsidTr="00C45A23">
        <w:tc>
          <w:tcPr>
            <w:tcW w:w="3260" w:type="dxa"/>
            <w:vMerge w:val="restart"/>
            <w:vAlign w:val="center"/>
          </w:tcPr>
          <w:p w14:paraId="059B0BF7" w14:textId="4E9B90A0" w:rsidR="0008251E" w:rsidRPr="00D15F0D" w:rsidRDefault="0008251E" w:rsidP="00056CCD">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lastRenderedPageBreak/>
              <w:t xml:space="preserve">Chính sách </w:t>
            </w:r>
            <w:r w:rsidR="00384E05">
              <w:rPr>
                <w:rFonts w:ascii="Times New Roman" w:hAnsi="Times New Roman" w:cs="Times New Roman"/>
                <w:b/>
                <w:bCs/>
                <w:sz w:val="28"/>
                <w:szCs w:val="28"/>
              </w:rPr>
              <w:t>3</w:t>
            </w:r>
            <w:r w:rsidRPr="00D15F0D">
              <w:rPr>
                <w:rFonts w:ascii="Times New Roman" w:hAnsi="Times New Roman" w:cs="Times New Roman"/>
                <w:b/>
                <w:bCs/>
                <w:sz w:val="28"/>
                <w:szCs w:val="28"/>
              </w:rPr>
              <w:t>:</w:t>
            </w:r>
          </w:p>
          <w:p w14:paraId="68E9C0D0" w14:textId="29D5C663" w:rsidR="0008251E" w:rsidRPr="00D15F0D" w:rsidRDefault="0008251E" w:rsidP="00056CCD">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Quy định về tổ chức, cấp phép và quản trị Sở giao dịch hàng hóa phái sinh (</w:t>
            </w:r>
            <w:r w:rsidR="002E2352">
              <w:rPr>
                <w:rFonts w:ascii="Times New Roman" w:hAnsi="Times New Roman" w:cs="Times New Roman"/>
                <w:b/>
                <w:bCs/>
                <w:sz w:val="28"/>
                <w:szCs w:val="28"/>
              </w:rPr>
              <w:t>SỞ GDHHPS</w:t>
            </w:r>
            <w:r w:rsidRPr="00D15F0D">
              <w:rPr>
                <w:rFonts w:ascii="Times New Roman" w:hAnsi="Times New Roman" w:cs="Times New Roman"/>
                <w:b/>
                <w:bCs/>
                <w:sz w:val="28"/>
                <w:szCs w:val="28"/>
              </w:rPr>
              <w:t>)</w:t>
            </w:r>
          </w:p>
        </w:tc>
        <w:tc>
          <w:tcPr>
            <w:tcW w:w="4253" w:type="dxa"/>
          </w:tcPr>
          <w:p w14:paraId="6A96C9AC" w14:textId="0A72E0CD"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Quy phạm hóa điều kiện thành lập của Sở giao dịch hàng hóa phái sinh </w:t>
            </w:r>
          </w:p>
        </w:tc>
        <w:tc>
          <w:tcPr>
            <w:tcW w:w="6095" w:type="dxa"/>
          </w:tcPr>
          <w:p w14:paraId="22DCB208" w14:textId="48FF3AC7"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điều kiện thành lập Sở giao dịch hàng hóa phái sinh, bao gồm yêu cầu về vốn điều lệ tối thiểu, cơ cấu sở hữu, hệ thống giao dịch, an toàn công nghệ thông tin và cơ chế kiểm soát nội bộ nhằm bảo đảm tính minh bạch, an toàn trong hoạt động giao dịch hàng hóa phái sinh.</w:t>
            </w:r>
          </w:p>
          <w:p w14:paraId="35C3AAB8" w14:textId="3FEF3AAC"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Giao Chính phủ quy định chi tiết về tiêu chuẩn hạ tầng kỹ thuật, yêu cầu về an toàn thông tin, kiểm soát nội bộ cũng như cơ chế cấp và thu hồi giấy phép hoạt động.</w:t>
            </w:r>
          </w:p>
        </w:tc>
      </w:tr>
      <w:tr w:rsidR="0008251E" w:rsidRPr="00D15F0D" w14:paraId="1F11C81C" w14:textId="77777777" w:rsidTr="00C45A23">
        <w:tc>
          <w:tcPr>
            <w:tcW w:w="3260" w:type="dxa"/>
            <w:vMerge/>
            <w:vAlign w:val="center"/>
          </w:tcPr>
          <w:p w14:paraId="793A6A2B" w14:textId="3C04220C" w:rsidR="0008251E" w:rsidRPr="00D15F0D" w:rsidRDefault="0008251E" w:rsidP="00056CCD">
            <w:pPr>
              <w:spacing w:before="120" w:after="120"/>
              <w:jc w:val="center"/>
              <w:rPr>
                <w:rFonts w:ascii="Times New Roman" w:hAnsi="Times New Roman" w:cs="Times New Roman"/>
                <w:b/>
                <w:bCs/>
                <w:sz w:val="28"/>
                <w:szCs w:val="28"/>
              </w:rPr>
            </w:pPr>
          </w:p>
        </w:tc>
        <w:tc>
          <w:tcPr>
            <w:tcW w:w="4253" w:type="dxa"/>
          </w:tcPr>
          <w:p w14:paraId="5107DCD2" w14:textId="56C1E35A"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khung về tổ chức, bộ máy quản trị, điều hành của Sở giao dịch hàng hóa</w:t>
            </w:r>
          </w:p>
        </w:tc>
        <w:tc>
          <w:tcPr>
            <w:tcW w:w="6095" w:type="dxa"/>
          </w:tcPr>
          <w:p w14:paraId="15A15E26" w14:textId="6BE5557B"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khung về cơ cấu tổ chức quản trị, điều hành của Sở giao dịch hàng hóa phái sinh, bao gồm Hội đồng quản trị, Ban điều hành, Ban kiểm toán nội bộ và Ủy ban rủi ro; đồng thời đặt ra yêu cầu về tiêu chuẩn năng lực, đạo đức và tính độc lập đối với người quản lý chủ chốt.</w:t>
            </w:r>
          </w:p>
          <w:p w14:paraId="35AF3F07" w14:textId="509738EA"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Giao Chính phủ quy định chi tiết tiêu chí, quy trình bổ nhiệm, miễn nhiệm và trách nhiệm của các chức danh quản lý để bảo đảm hoạt động hiệu quả, minh bạch và an toàn hệ thống.</w:t>
            </w:r>
          </w:p>
        </w:tc>
      </w:tr>
      <w:tr w:rsidR="0008251E" w:rsidRPr="00D15F0D" w14:paraId="4271D86F" w14:textId="77777777" w:rsidTr="00C45A23">
        <w:tc>
          <w:tcPr>
            <w:tcW w:w="3260" w:type="dxa"/>
            <w:vMerge/>
            <w:vAlign w:val="center"/>
          </w:tcPr>
          <w:p w14:paraId="0836A87A" w14:textId="12880440" w:rsidR="0008251E" w:rsidRPr="00D15F0D" w:rsidRDefault="0008251E" w:rsidP="00056CCD">
            <w:pPr>
              <w:spacing w:before="120" w:after="120"/>
              <w:jc w:val="center"/>
              <w:rPr>
                <w:rFonts w:ascii="Times New Roman" w:hAnsi="Times New Roman" w:cs="Times New Roman"/>
                <w:b/>
                <w:bCs/>
                <w:sz w:val="28"/>
                <w:szCs w:val="28"/>
              </w:rPr>
            </w:pPr>
          </w:p>
        </w:tc>
        <w:tc>
          <w:tcPr>
            <w:tcW w:w="4253" w:type="dxa"/>
          </w:tcPr>
          <w:p w14:paraId="33E9FCAE" w14:textId="04912A6C"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Quy phạm hóa về quyền và </w:t>
            </w:r>
            <w:r w:rsidR="002162F8">
              <w:rPr>
                <w:rFonts w:ascii="Times New Roman" w:hAnsi="Times New Roman" w:cs="Times New Roman"/>
                <w:sz w:val="28"/>
                <w:szCs w:val="28"/>
              </w:rPr>
              <w:t>trách nhiệm</w:t>
            </w:r>
            <w:r w:rsidRPr="00D15F0D">
              <w:rPr>
                <w:rFonts w:ascii="Times New Roman" w:hAnsi="Times New Roman" w:cs="Times New Roman"/>
                <w:sz w:val="28"/>
                <w:szCs w:val="28"/>
              </w:rPr>
              <w:t xml:space="preserve"> của Sở giao dịch hàng hóa phái sinh</w:t>
            </w:r>
          </w:p>
        </w:tc>
        <w:tc>
          <w:tcPr>
            <w:tcW w:w="6095" w:type="dxa"/>
          </w:tcPr>
          <w:p w14:paraId="529C8CB3" w14:textId="7DB9DC0B"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quyền và nghĩa vụ cơ bản của Sở giao dịch hàng hóa phái sinh, trong đó nhấn mạnh quyền tổ chức và vận hành thị trường, ban hành Quy chế giao dịch trong khuôn khổ pháp luật. Đồng thời, Sở có trách nhiệm công bố thông tin minh bạch, thực hiện chế độ báo cáo định kỳ và đột xuất, giám sát hoạt động của thành viên, lưu trữ đầy đủ và an toàn dữ liệu giao dịch, xử lý kịp thời xung đột lợi ích và bảo đảm an toàn, ổn định hệ thống công nghệ thông tin.</w:t>
            </w:r>
          </w:p>
          <w:p w14:paraId="328F6711" w14:textId="43483D15" w:rsidR="0008251E" w:rsidRPr="00D15F0D" w:rsidRDefault="0008251E"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Chính phủ quy định chi tiết về chế độ báo cáo, công bố thông tin, cơ chế giám sát và trách nhiệm xử lý vi phạm để bảo đảm việc thực thi đồng bộ và hiệu quả.</w:t>
            </w:r>
          </w:p>
        </w:tc>
      </w:tr>
      <w:tr w:rsidR="0008251E" w:rsidRPr="00D15F0D" w14:paraId="3D0BD87F" w14:textId="77777777" w:rsidTr="00C45A23">
        <w:tc>
          <w:tcPr>
            <w:tcW w:w="3260" w:type="dxa"/>
            <w:vMerge/>
            <w:vAlign w:val="center"/>
          </w:tcPr>
          <w:p w14:paraId="2488EB53" w14:textId="32FF7C94" w:rsidR="0008251E" w:rsidRPr="00D15F0D" w:rsidRDefault="0008251E" w:rsidP="00056CCD">
            <w:pPr>
              <w:spacing w:before="120" w:after="120"/>
              <w:jc w:val="center"/>
              <w:rPr>
                <w:rFonts w:ascii="Times New Roman" w:hAnsi="Times New Roman" w:cs="Times New Roman"/>
                <w:b/>
                <w:bCs/>
                <w:sz w:val="28"/>
                <w:szCs w:val="28"/>
              </w:rPr>
            </w:pPr>
          </w:p>
        </w:tc>
        <w:tc>
          <w:tcPr>
            <w:tcW w:w="4253" w:type="dxa"/>
          </w:tcPr>
          <w:p w14:paraId="33B89031" w14:textId="7453686C" w:rsidR="0008251E" w:rsidRPr="00D15F0D" w:rsidRDefault="006620CA"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Quy phạm hóa về điều lệ hoạt động, quy định về việc tạm ngừng, giải thể và chấm dứt hoạt động </w:t>
            </w:r>
            <w:r w:rsidR="002E2352">
              <w:rPr>
                <w:rFonts w:ascii="Times New Roman" w:hAnsi="Times New Roman" w:cs="Times New Roman"/>
                <w:sz w:val="28"/>
                <w:szCs w:val="28"/>
              </w:rPr>
              <w:t>SỞ GDHHPS</w:t>
            </w:r>
          </w:p>
        </w:tc>
        <w:tc>
          <w:tcPr>
            <w:tcW w:w="6095" w:type="dxa"/>
          </w:tcPr>
          <w:p w14:paraId="3E814729" w14:textId="7EAF60A0" w:rsidR="006620CA" w:rsidRPr="00D15F0D" w:rsidRDefault="006620CA" w:rsidP="006620CA">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Sở giao dịch hàng hóa phái sinh (</w:t>
            </w:r>
            <w:r w:rsidR="002E2352">
              <w:rPr>
                <w:rFonts w:ascii="Times New Roman" w:hAnsi="Times New Roman" w:cs="Times New Roman"/>
                <w:sz w:val="28"/>
                <w:szCs w:val="28"/>
              </w:rPr>
              <w:t>SỞ GDHHPS</w:t>
            </w:r>
            <w:r w:rsidRPr="00D15F0D">
              <w:rPr>
                <w:rFonts w:ascii="Times New Roman" w:hAnsi="Times New Roman" w:cs="Times New Roman"/>
                <w:sz w:val="28"/>
                <w:szCs w:val="28"/>
              </w:rPr>
              <w:t xml:space="preserve">) phải xây dựng và thực hiện điều lệ hoạt động, các quy chế giao dịch theo khung pháp luật, bảo đảm tính công khai, minh bạch và trách nhiệm giải trình; đồng thời thực hiện nghĩa vụ công bố thông tin định kỳ, </w:t>
            </w:r>
            <w:r w:rsidRPr="00D15F0D">
              <w:rPr>
                <w:rFonts w:ascii="Times New Roman" w:hAnsi="Times New Roman" w:cs="Times New Roman"/>
                <w:sz w:val="28"/>
                <w:szCs w:val="28"/>
              </w:rPr>
              <w:lastRenderedPageBreak/>
              <w:t xml:space="preserve">bất thường để nhà đầu tư và cơ quan quản lý tiếp cận kịp thời. Trường hợp tạm ngừng, giải thể hoặc chấm dứt hoạt động, </w:t>
            </w:r>
            <w:r w:rsidR="002E2352">
              <w:rPr>
                <w:rFonts w:ascii="Times New Roman" w:hAnsi="Times New Roman" w:cs="Times New Roman"/>
                <w:sz w:val="28"/>
                <w:szCs w:val="28"/>
              </w:rPr>
              <w:t>SỞ GDHHPS</w:t>
            </w:r>
            <w:r w:rsidRPr="00D15F0D">
              <w:rPr>
                <w:rFonts w:ascii="Times New Roman" w:hAnsi="Times New Roman" w:cs="Times New Roman"/>
                <w:sz w:val="28"/>
                <w:szCs w:val="28"/>
              </w:rPr>
              <w:t xml:space="preserve"> phải bảo đảm nguyên tắc thanh toán dứt điểm, chuyển giao dữ liệu và bảo vệ quyền lợi hợp pháp của nhà đầu tư, thành viên thị trường và các bên liên quan.</w:t>
            </w:r>
          </w:p>
          <w:p w14:paraId="47F82EED" w14:textId="0525867A" w:rsidR="006620CA" w:rsidRPr="00D15F0D" w:rsidRDefault="006620CA" w:rsidP="006620CA">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 Quy định về việc ban hành điều lệ hoạt động, công bố thông tin và các trường hợp tạm ngừng, giải thể, chấm dứt hoạt động của </w:t>
            </w:r>
            <w:r w:rsidR="002E2352">
              <w:rPr>
                <w:rFonts w:ascii="Times New Roman" w:hAnsi="Times New Roman" w:cs="Times New Roman"/>
                <w:sz w:val="28"/>
                <w:szCs w:val="28"/>
              </w:rPr>
              <w:t>SỞ GDHHPS</w:t>
            </w:r>
            <w:r w:rsidRPr="00D15F0D">
              <w:rPr>
                <w:rFonts w:ascii="Times New Roman" w:hAnsi="Times New Roman" w:cs="Times New Roman"/>
                <w:sz w:val="28"/>
                <w:szCs w:val="28"/>
              </w:rPr>
              <w:t>.</w:t>
            </w:r>
          </w:p>
          <w:p w14:paraId="4A8074C0" w14:textId="39BB74D5" w:rsidR="0008251E" w:rsidRPr="00D15F0D" w:rsidRDefault="006620CA" w:rsidP="006620CA">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Chính phủ quy định chi tiết nội dung, hình thức, thời hạn công bố thông tin, đồng thời quy định quy trình, thẩm quyền và biện pháp xử lý nhằm bảo đảm an toàn hệ thống và quyền lợi hợp pháp của các bên tham gia.</w:t>
            </w:r>
          </w:p>
        </w:tc>
      </w:tr>
      <w:tr w:rsidR="0008251E" w:rsidRPr="00D15F0D" w14:paraId="76042049" w14:textId="77777777" w:rsidTr="00C45A23">
        <w:tc>
          <w:tcPr>
            <w:tcW w:w="3260" w:type="dxa"/>
            <w:vMerge/>
            <w:vAlign w:val="center"/>
          </w:tcPr>
          <w:p w14:paraId="057AD118" w14:textId="02741EE1" w:rsidR="0008251E" w:rsidRPr="00D15F0D" w:rsidRDefault="0008251E" w:rsidP="00056CCD">
            <w:pPr>
              <w:spacing w:before="120" w:after="120"/>
              <w:jc w:val="center"/>
              <w:rPr>
                <w:rFonts w:ascii="Times New Roman" w:hAnsi="Times New Roman" w:cs="Times New Roman"/>
                <w:b/>
                <w:bCs/>
                <w:sz w:val="28"/>
                <w:szCs w:val="28"/>
              </w:rPr>
            </w:pPr>
          </w:p>
        </w:tc>
        <w:tc>
          <w:tcPr>
            <w:tcW w:w="4253" w:type="dxa"/>
          </w:tcPr>
          <w:p w14:paraId="53B43B24" w14:textId="01285F80" w:rsidR="0008251E" w:rsidRPr="00D15F0D" w:rsidRDefault="006620CA"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phạm hóa quy định thành lập Sàn giao dịch hàng hóa phái sinh chuyên biệt</w:t>
            </w:r>
          </w:p>
        </w:tc>
        <w:tc>
          <w:tcPr>
            <w:tcW w:w="6095" w:type="dxa"/>
          </w:tcPr>
          <w:p w14:paraId="74611B2D" w14:textId="4503E5F4" w:rsidR="008045BB" w:rsidRPr="00D15F0D" w:rsidRDefault="008045BB"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cho phép thành lập sàn giao dịch hàng hóa phái sinh chuyên biệt theo ngành hàng hoặc theo loại hợp đồng để đáp ứng nhu cầu thị trường, đồng thời bảo đảm thanh khoản để thị trường vận hành hiệu quả, minh bạch.</w:t>
            </w:r>
          </w:p>
          <w:p w14:paraId="444DC179" w14:textId="3C5ED5D3" w:rsidR="0008251E" w:rsidRPr="00D15F0D" w:rsidRDefault="008045BB"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Chính phủ quy định chi tiết về điều kiện thành lập, phạm vi hoạt động, cơ chế phối hợp quản lý và biện pháp giám sát nhằm ngăn ngừa cạnh tranh không lành mạnh.</w:t>
            </w:r>
          </w:p>
        </w:tc>
      </w:tr>
      <w:tr w:rsidR="008045BB" w:rsidRPr="00D15F0D" w14:paraId="5896E334" w14:textId="77777777" w:rsidTr="00C45A23">
        <w:tc>
          <w:tcPr>
            <w:tcW w:w="3260" w:type="dxa"/>
            <w:vMerge w:val="restart"/>
            <w:vAlign w:val="center"/>
          </w:tcPr>
          <w:p w14:paraId="50ED2BA0" w14:textId="70053026" w:rsidR="008045BB" w:rsidRPr="00D15F0D" w:rsidRDefault="008045BB" w:rsidP="00056CCD">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Chính sách </w:t>
            </w:r>
            <w:r w:rsidR="00384E05">
              <w:rPr>
                <w:rFonts w:ascii="Times New Roman" w:hAnsi="Times New Roman" w:cs="Times New Roman"/>
                <w:b/>
                <w:bCs/>
                <w:sz w:val="28"/>
                <w:szCs w:val="28"/>
              </w:rPr>
              <w:t>4</w:t>
            </w:r>
            <w:r w:rsidRPr="00D15F0D">
              <w:rPr>
                <w:rFonts w:ascii="Times New Roman" w:hAnsi="Times New Roman" w:cs="Times New Roman"/>
                <w:b/>
                <w:bCs/>
                <w:sz w:val="28"/>
                <w:szCs w:val="28"/>
              </w:rPr>
              <w:t>:</w:t>
            </w:r>
          </w:p>
          <w:p w14:paraId="3612CBCD" w14:textId="35AF84B9" w:rsidR="008045BB" w:rsidRPr="00D15F0D" w:rsidRDefault="008045BB" w:rsidP="00056CCD">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Quy định về các chủ thể, quyền và trách nhiệm của các chủ thể tham gia </w:t>
            </w:r>
            <w:r w:rsidRPr="00D15F0D">
              <w:rPr>
                <w:rFonts w:ascii="Times New Roman" w:hAnsi="Times New Roman" w:cs="Times New Roman"/>
                <w:b/>
                <w:bCs/>
                <w:sz w:val="28"/>
                <w:szCs w:val="28"/>
              </w:rPr>
              <w:lastRenderedPageBreak/>
              <w:t>thị trường giao dịch hàng hóa phái sinh</w:t>
            </w:r>
          </w:p>
        </w:tc>
        <w:tc>
          <w:tcPr>
            <w:tcW w:w="4253" w:type="dxa"/>
          </w:tcPr>
          <w:p w14:paraId="0A21592F" w14:textId="3714310D" w:rsidR="008045BB" w:rsidRPr="00D15F0D" w:rsidRDefault="008045BB"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lastRenderedPageBreak/>
              <w:t>Quy định về phân loại và quản lý thành viên thị trường</w:t>
            </w:r>
          </w:p>
        </w:tc>
        <w:tc>
          <w:tcPr>
            <w:tcW w:w="6095" w:type="dxa"/>
          </w:tcPr>
          <w:p w14:paraId="14577042" w14:textId="46127817" w:rsidR="008045BB" w:rsidRPr="00D15F0D" w:rsidRDefault="008045BB" w:rsidP="008045BB">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 Phân loại thành viên thị trường thành bốn nhóm cơ bản, bao gồm: (i) thành viên kinh doanh (dealer/trading member), (ii) thành viên môi giới (broker), (iii) thành viên thanh toán, bù trừ (clearing member), và (iv) thành viên đặc biệt (tổ chức tín </w:t>
            </w:r>
            <w:r w:rsidRPr="00D15F0D">
              <w:rPr>
                <w:rFonts w:ascii="Times New Roman" w:hAnsi="Times New Roman" w:cs="Times New Roman"/>
                <w:sz w:val="28"/>
                <w:szCs w:val="28"/>
              </w:rPr>
              <w:lastRenderedPageBreak/>
              <w:t>dụng, doanh nghiệp bảo hiểm, quỹ đầu tư, doanh nghiệp sản xuất có nhu cầu phòng ngừa rủi ro).</w:t>
            </w:r>
          </w:p>
          <w:p w14:paraId="797A5D07" w14:textId="4802EA10" w:rsidR="008045BB" w:rsidRPr="00D15F0D" w:rsidRDefault="008045BB" w:rsidP="008045BB">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Các thành viên tham gia phải đáp ứng điều kiện chung về tư cách pháp nhân, năng lực tài chính (vốn tối thiểu), năng lực quản trị, điều hành, hệ thống công nghệ thông tin đáp ứng yêu cầu giao dịch, và cơ chế quản trị rủi ro nội bộ.</w:t>
            </w:r>
          </w:p>
          <w:p w14:paraId="3C670E28" w14:textId="33E509ED" w:rsidR="008045BB" w:rsidRPr="00D15F0D" w:rsidRDefault="008045BB"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Chính phủ quy định chi tiết về: (i) điều kiện và thủ tục gia nhập; (ii) quyền và nghĩa vụ của từng loại thành viên; (iii) cơ chế quản lý, giám sát; (iv) nghĩa vụ ký quỹ, thanh toán bù trừ và chế độ báo cáo định kỳ, nhằm bảo đảm hoạt động minh bạch, an toàn và hiệu quả.</w:t>
            </w:r>
          </w:p>
        </w:tc>
      </w:tr>
      <w:tr w:rsidR="008045BB" w:rsidRPr="00D15F0D" w14:paraId="3537C947" w14:textId="77777777" w:rsidTr="00C45A23">
        <w:tc>
          <w:tcPr>
            <w:tcW w:w="3260" w:type="dxa"/>
            <w:vMerge/>
            <w:vAlign w:val="center"/>
          </w:tcPr>
          <w:p w14:paraId="2F973774" w14:textId="49A16D5C" w:rsidR="008045BB" w:rsidRPr="00D15F0D" w:rsidRDefault="008045BB" w:rsidP="00056CCD">
            <w:pPr>
              <w:spacing w:before="120" w:after="120"/>
              <w:jc w:val="center"/>
              <w:rPr>
                <w:rFonts w:ascii="Times New Roman" w:hAnsi="Times New Roman" w:cs="Times New Roman"/>
                <w:b/>
                <w:bCs/>
                <w:sz w:val="28"/>
                <w:szCs w:val="28"/>
              </w:rPr>
            </w:pPr>
          </w:p>
        </w:tc>
        <w:tc>
          <w:tcPr>
            <w:tcW w:w="4253" w:type="dxa"/>
          </w:tcPr>
          <w:p w14:paraId="573736C1" w14:textId="14D824EF" w:rsidR="008045BB" w:rsidRPr="00D15F0D" w:rsidRDefault="008045BB"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phân loại và quản lý nhà đầu tư tham gia thị trường</w:t>
            </w:r>
          </w:p>
        </w:tc>
        <w:tc>
          <w:tcPr>
            <w:tcW w:w="6095" w:type="dxa"/>
          </w:tcPr>
          <w:p w14:paraId="7B69B513" w14:textId="63FD0635" w:rsidR="008045BB" w:rsidRPr="00D15F0D" w:rsidRDefault="008045BB" w:rsidP="008045BB">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Phân loại nhà đầu tư tham gia thị trường theo ba nhóm: (i) nhà đầu tư chuyên nghiệp, bao gồm tổ chức tài chính, quỹ đầu tư và các tổ chức có kinh nghiệm cũng như năng lực tài chính; (ii) nhà đầu tư không chuyên nghiệp, chủ yếu là </w:t>
            </w:r>
            <w:r w:rsidR="00752152" w:rsidRPr="00D15F0D">
              <w:rPr>
                <w:rFonts w:ascii="Times New Roman" w:hAnsi="Times New Roman" w:cs="Times New Roman"/>
                <w:sz w:val="28"/>
                <w:szCs w:val="28"/>
              </w:rPr>
              <w:t>khách hàng</w:t>
            </w:r>
            <w:r w:rsidRPr="00D15F0D">
              <w:rPr>
                <w:rFonts w:ascii="Times New Roman" w:hAnsi="Times New Roman" w:cs="Times New Roman"/>
                <w:sz w:val="28"/>
                <w:szCs w:val="28"/>
              </w:rPr>
              <w:t>; (iii) nhà đầu tư là tổ chức, cá nhân trong nước và nước ngoài.</w:t>
            </w:r>
          </w:p>
          <w:p w14:paraId="2154880D" w14:textId="744E2B2B" w:rsidR="008045BB" w:rsidRPr="00D15F0D" w:rsidRDefault="00752152" w:rsidP="008045BB">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w:t>
            </w:r>
            <w:r w:rsidR="008045BB" w:rsidRPr="00D15F0D">
              <w:rPr>
                <w:rFonts w:ascii="Times New Roman" w:hAnsi="Times New Roman" w:cs="Times New Roman"/>
                <w:sz w:val="28"/>
                <w:szCs w:val="28"/>
              </w:rPr>
              <w:t>ác định quyền và nghĩa vụ cơ bản của nhà đầu tư, đồng thời quy định trách nhiệm của thành viên môi giới trong việc thực hiện phân loại chính xác, cung cấp thông tin đầy đủ, cảnh báo rủi ro kịp thời và bảo đảm tách bạch tài sản của khách hàng với tài sản của chính mình.</w:t>
            </w:r>
          </w:p>
          <w:p w14:paraId="7C3C6D3D" w14:textId="578260C8" w:rsidR="008045BB" w:rsidRPr="00D15F0D" w:rsidRDefault="00752152"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 Quy định về </w:t>
            </w:r>
            <w:r w:rsidR="008045BB" w:rsidRPr="00D15F0D">
              <w:rPr>
                <w:rFonts w:ascii="Times New Roman" w:hAnsi="Times New Roman" w:cs="Times New Roman"/>
                <w:sz w:val="28"/>
                <w:szCs w:val="28"/>
              </w:rPr>
              <w:t xml:space="preserve">nguyên tắc bảo vệ dữ liệu cá nhân và bảo mật thông tin của nhà đầu tư phù hợp với pháp luật hiện hành, nhằm bảo đảm an toàn, minh bạch và </w:t>
            </w:r>
            <w:r w:rsidR="008045BB" w:rsidRPr="00D15F0D">
              <w:rPr>
                <w:rFonts w:ascii="Times New Roman" w:hAnsi="Times New Roman" w:cs="Times New Roman"/>
                <w:sz w:val="28"/>
                <w:szCs w:val="28"/>
              </w:rPr>
              <w:lastRenderedPageBreak/>
              <w:t>quyền lợi hợp pháp của nhà đầu tư khi tham gia thị trường.</w:t>
            </w:r>
          </w:p>
        </w:tc>
      </w:tr>
      <w:tr w:rsidR="008045BB" w:rsidRPr="00D15F0D" w14:paraId="36A4B6B3" w14:textId="77777777" w:rsidTr="00C45A23">
        <w:tc>
          <w:tcPr>
            <w:tcW w:w="3260" w:type="dxa"/>
            <w:vMerge/>
            <w:vAlign w:val="center"/>
          </w:tcPr>
          <w:p w14:paraId="3831760B" w14:textId="7F2C1065" w:rsidR="008045BB" w:rsidRPr="00D15F0D" w:rsidRDefault="008045BB" w:rsidP="00056CCD">
            <w:pPr>
              <w:spacing w:before="120" w:after="120"/>
              <w:jc w:val="center"/>
              <w:rPr>
                <w:rFonts w:ascii="Times New Roman" w:hAnsi="Times New Roman" w:cs="Times New Roman"/>
                <w:b/>
                <w:bCs/>
                <w:sz w:val="28"/>
                <w:szCs w:val="28"/>
              </w:rPr>
            </w:pPr>
          </w:p>
        </w:tc>
        <w:tc>
          <w:tcPr>
            <w:tcW w:w="4253" w:type="dxa"/>
          </w:tcPr>
          <w:p w14:paraId="5C8A6840" w14:textId="18ACF7E1" w:rsidR="008045BB" w:rsidRPr="00D15F0D" w:rsidRDefault="005C5303"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cấp, quản lý, thu hồi chứng chỉ hành nghề trong lĩnh vực giao dịch hàng hóa phái sinh</w:t>
            </w:r>
          </w:p>
        </w:tc>
        <w:tc>
          <w:tcPr>
            <w:tcW w:w="6095" w:type="dxa"/>
          </w:tcPr>
          <w:p w14:paraId="2BE46683" w14:textId="77777777" w:rsidR="005C5303" w:rsidRPr="00D15F0D" w:rsidRDefault="005C5303"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về việc cấp, quản lý và thu hồi chứng chỉ hành nghề đối với các chức danh trong lĩnh vực giao dịch hàng hóa phái sinh như môi giới, phân tích và quản lý tài khoản, nhằm bảo đảm chất lượng chuyên môn và tính chuyên nghiệp của thị trường.</w:t>
            </w:r>
          </w:p>
          <w:p w14:paraId="35F82998" w14:textId="77777777" w:rsidR="005C5303" w:rsidRPr="00D15F0D" w:rsidRDefault="005C5303"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Xác định tiêu chuẩn trình độ, đạo đức nghề nghiệp, cũng như nghĩa vụ đào tạo và cập nhật kiến thức định kỳ của người hành nghề.</w:t>
            </w:r>
          </w:p>
          <w:p w14:paraId="44CE3A70" w14:textId="28C0C93B" w:rsidR="008045BB" w:rsidRPr="00D15F0D" w:rsidRDefault="005C5303" w:rsidP="00B85D56">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Chính phủ hoặc cơ quan quản lý nhà nước chuyên ngành quy định chi tiết về chương trình đào tạo, thủ tục cấp và quản lý chứng chỉ, thẩm quyền cấp và thu hồi, cùng cơ chế xử lý vi phạm để bảo đảm sự minh bạch, hiệu quả và kỷ luật trong hoạt động nghề nghiệp.</w:t>
            </w:r>
          </w:p>
        </w:tc>
      </w:tr>
      <w:tr w:rsidR="00BC2599" w:rsidRPr="00D15F0D" w14:paraId="0B5C2CF0" w14:textId="77777777" w:rsidTr="00C45A23">
        <w:tc>
          <w:tcPr>
            <w:tcW w:w="3260" w:type="dxa"/>
            <w:vMerge w:val="restart"/>
            <w:vAlign w:val="center"/>
          </w:tcPr>
          <w:p w14:paraId="01DFD3E0" w14:textId="505ED18B" w:rsidR="00BC2599" w:rsidRPr="00D15F0D" w:rsidRDefault="00BC2599" w:rsidP="00384E05">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Chính sách </w:t>
            </w:r>
            <w:r>
              <w:rPr>
                <w:rFonts w:ascii="Times New Roman" w:hAnsi="Times New Roman" w:cs="Times New Roman"/>
                <w:b/>
                <w:bCs/>
                <w:sz w:val="28"/>
                <w:szCs w:val="28"/>
              </w:rPr>
              <w:t>5</w:t>
            </w:r>
          </w:p>
          <w:p w14:paraId="5B7A0099" w14:textId="02CFFA2B" w:rsidR="00BC2599" w:rsidRPr="00D15F0D" w:rsidRDefault="00BC2599" w:rsidP="00384E05">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Quy phạm hóa sản phẩm phái sinh, danh mục tài sản cơ sở và quy tắc vận hành thị trường</w:t>
            </w:r>
          </w:p>
        </w:tc>
        <w:tc>
          <w:tcPr>
            <w:tcW w:w="4253" w:type="dxa"/>
          </w:tcPr>
          <w:p w14:paraId="7275E6D0" w14:textId="7FBCE32A"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danh mục tài sản cơ sở và loại hình hợp đồng phái sinh trong giao dịch hàng hóa</w:t>
            </w:r>
          </w:p>
        </w:tc>
        <w:tc>
          <w:tcPr>
            <w:tcW w:w="6095" w:type="dxa"/>
          </w:tcPr>
          <w:p w14:paraId="0C63C528" w14:textId="77777777"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về việc xác định danh mục hàng hóa được phép làm tài sản cơ sở và các loại hợp đồng phái sinh được phép giao dịch. Trên cơ sở đó, danh mục hàng hóa cơ sở sẽ được thiết kế theo khung, bảo đảm lựa chọn những hàng hóa phổ biến, có tính thanh khoản, là những hàng hóa xuất nhập khẩu chủ lực, giá cả được công bố minh bạch, đồng thời loại trừ các mặt hàng nhạy cảm có thể ảnh hưởng đến an ninh, chính trị, xã hội.</w:t>
            </w:r>
          </w:p>
          <w:p w14:paraId="3024B5B8" w14:textId="6A8F47F3"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 Đối với các loại hợp đồng phái sinh, ngoài việc quy định nguyên tắc trong luật về những loại hợp đồng được phép như hợp đồng tương lai, hợp đồng kỳ hạn </w:t>
            </w:r>
            <w:r w:rsidRPr="00D15F0D">
              <w:rPr>
                <w:rFonts w:ascii="Times New Roman" w:hAnsi="Times New Roman" w:cs="Times New Roman"/>
                <w:sz w:val="28"/>
                <w:szCs w:val="28"/>
              </w:rPr>
              <w:lastRenderedPageBreak/>
              <w:t>chuẩn hóa, quyền chọn, hoán đổi, Chính phủ quy định cụ thể về nội dung, cấu trúc, phương thức giao dịch và điều kiện triển khai, đồng thời khuyến khích đa dạng hóa sản phẩm theo nhu cầu thị trường và thông lệ quốc tế.</w:t>
            </w:r>
          </w:p>
        </w:tc>
      </w:tr>
      <w:tr w:rsidR="00BC2599" w:rsidRPr="00D15F0D" w14:paraId="300E99E2" w14:textId="77777777" w:rsidTr="00C45A23">
        <w:tc>
          <w:tcPr>
            <w:tcW w:w="3260" w:type="dxa"/>
            <w:vMerge/>
            <w:vAlign w:val="center"/>
          </w:tcPr>
          <w:p w14:paraId="6A34A589" w14:textId="77777777" w:rsidR="00BC2599" w:rsidRPr="00D15F0D" w:rsidRDefault="00BC2599" w:rsidP="00384E05">
            <w:pPr>
              <w:spacing w:before="120" w:after="120"/>
              <w:jc w:val="center"/>
              <w:rPr>
                <w:rFonts w:ascii="Times New Roman" w:hAnsi="Times New Roman" w:cs="Times New Roman"/>
                <w:b/>
                <w:bCs/>
                <w:sz w:val="28"/>
                <w:szCs w:val="28"/>
              </w:rPr>
            </w:pPr>
          </w:p>
        </w:tc>
        <w:tc>
          <w:tcPr>
            <w:tcW w:w="4253" w:type="dxa"/>
          </w:tcPr>
          <w:p w14:paraId="00BF7B60" w14:textId="15C82CDE"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niêm yết, hủy niêm yết hợp đồng phái sinh</w:t>
            </w:r>
          </w:p>
        </w:tc>
        <w:tc>
          <w:tcPr>
            <w:tcW w:w="6095" w:type="dxa"/>
          </w:tcPr>
          <w:p w14:paraId="3B6DF03A" w14:textId="77777777"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điều kiện cơ bản để hợp đồng phái sinh được niêm yết, hủy niêm yết, trong đó nêu rõ trách nhiệm của Sở giao dịch về lập hồ sơ, công bố thông tin và bảo đảm quyền lợi nhà đầu tư.</w:t>
            </w:r>
          </w:p>
          <w:p w14:paraId="4CECB5FD" w14:textId="03A5C807"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Giao Chính phủ quy định chi tiết tiêu chí về tài sản cơ sở, thanh khoản, phương pháp định giá, quy trình chấp thuận sản phẩm, điều kiện và thủ tục hủy niêm yết (bao gồm cơ chế xử lý vị thế đang mở), cũng như thời hạn và phương thức công bố thông tin, nhằm bảo đảm tính minh bạch, an toàn hệ thống và quyền lợi hợp pháp của các bên tham gia.</w:t>
            </w:r>
          </w:p>
        </w:tc>
      </w:tr>
      <w:tr w:rsidR="00BC2599" w:rsidRPr="00D15F0D" w14:paraId="71611C86" w14:textId="77777777" w:rsidTr="00C45A23">
        <w:tc>
          <w:tcPr>
            <w:tcW w:w="3260" w:type="dxa"/>
            <w:vMerge/>
            <w:vAlign w:val="center"/>
          </w:tcPr>
          <w:p w14:paraId="3B32326B" w14:textId="77777777" w:rsidR="00BC2599" w:rsidRPr="00D15F0D" w:rsidRDefault="00BC2599" w:rsidP="00384E05">
            <w:pPr>
              <w:spacing w:before="120" w:after="120"/>
              <w:jc w:val="center"/>
              <w:rPr>
                <w:rFonts w:ascii="Times New Roman" w:hAnsi="Times New Roman" w:cs="Times New Roman"/>
                <w:b/>
                <w:bCs/>
                <w:sz w:val="28"/>
                <w:szCs w:val="28"/>
              </w:rPr>
            </w:pPr>
          </w:p>
        </w:tc>
        <w:tc>
          <w:tcPr>
            <w:tcW w:w="4253" w:type="dxa"/>
          </w:tcPr>
          <w:p w14:paraId="0FC4F902" w14:textId="09F757B0"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quy tắc giao dịch, khớp lệnh, giới hạn vị thế, cơ chế bình ổn thị trường</w:t>
            </w:r>
          </w:p>
        </w:tc>
        <w:tc>
          <w:tcPr>
            <w:tcW w:w="6095" w:type="dxa"/>
          </w:tcPr>
          <w:p w14:paraId="70EBB5AE" w14:textId="77777777"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 - Quy định khung về nguyên tắc giao dịch, cơ chế khớp lệnh và giới hạn vị thế nhằm bảo đảm tính công khai, minh bạch và an toàn của thị trường: cơ chế khớp lệnh, loại lệnh, thời gian giao dịch, giới hạn vị thế, cơ chế bình ổn, đo lường thanh khoản…</w:t>
            </w:r>
          </w:p>
          <w:p w14:paraId="129175CE" w14:textId="1DA5BDA3"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Giao Chính phủ hoặc Bộ/ngành liên quan quy định chi tiết các thông số kỹ thuật, mẫu thông tin bắt buộc phải công bố, cơ chế xác lập và điều chỉnh giới hạn vị thế; đồng thời thiết lập ngưỡng cảnh báo, cơ chế ngừng giao dịch khẩn cấp và các biện pháp bình ổn thị trường trong trường hợp phát sinh biến động bất thường.</w:t>
            </w:r>
          </w:p>
        </w:tc>
      </w:tr>
      <w:tr w:rsidR="00BC2599" w:rsidRPr="00D15F0D" w14:paraId="6EE82749" w14:textId="77777777" w:rsidTr="00C45A23">
        <w:tc>
          <w:tcPr>
            <w:tcW w:w="3260" w:type="dxa"/>
            <w:vMerge/>
            <w:vAlign w:val="center"/>
          </w:tcPr>
          <w:p w14:paraId="359045D4" w14:textId="77777777" w:rsidR="00BC2599" w:rsidRPr="00D15F0D" w:rsidRDefault="00BC2599" w:rsidP="00384E05">
            <w:pPr>
              <w:spacing w:before="120" w:after="120"/>
              <w:jc w:val="center"/>
              <w:rPr>
                <w:rFonts w:ascii="Times New Roman" w:hAnsi="Times New Roman" w:cs="Times New Roman"/>
                <w:b/>
                <w:bCs/>
                <w:sz w:val="28"/>
                <w:szCs w:val="28"/>
              </w:rPr>
            </w:pPr>
          </w:p>
        </w:tc>
        <w:tc>
          <w:tcPr>
            <w:tcW w:w="4253" w:type="dxa"/>
          </w:tcPr>
          <w:p w14:paraId="7AD3A74F" w14:textId="7A68DF91"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cơ chế phòng ngừa rủi ro, bảo vệ nhà đầu tư và bảo đảm an toàn hệ thống</w:t>
            </w:r>
          </w:p>
        </w:tc>
        <w:tc>
          <w:tcPr>
            <w:tcW w:w="6095" w:type="dxa"/>
          </w:tcPr>
          <w:p w14:paraId="2455B736" w14:textId="77777777" w:rsidR="00BC2599"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nguyên tắc về quản trị rủi ro, bảo đảm an toàn hệ thống và bảo vệ quyền, lợi ích hợp pháp của nhà đầu tư</w:t>
            </w:r>
            <w:r>
              <w:rPr>
                <w:rFonts w:ascii="Times New Roman" w:hAnsi="Times New Roman" w:cs="Times New Roman"/>
                <w:sz w:val="28"/>
                <w:szCs w:val="28"/>
              </w:rPr>
              <w:t>.</w:t>
            </w:r>
          </w:p>
          <w:p w14:paraId="24C684FA" w14:textId="07625E13" w:rsidR="00BC2599" w:rsidRPr="00D15F0D" w:rsidRDefault="00BC2599" w:rsidP="00384E05">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Giao Chính phủ quy định chi tiết cơ chế ký quỹ, hệ số an toàn và giới hạn rủi ro; thiết lập quy định về quỹ bảo đảm và cơ chế bù trừ; yêu cầu tách bạch tài sản của khách hàng với tài sản của thành viên; đồng thời quy định quy trình xử lý trường hợp mất khả năng thanh toán, biện pháp giải quyết tranh chấp, xử lý vi phạm và các cơ chế bảo vệ nhà đầu tư.</w:t>
            </w:r>
          </w:p>
        </w:tc>
      </w:tr>
      <w:tr w:rsidR="00E23A71" w:rsidRPr="00D15F0D" w14:paraId="1578074F" w14:textId="77777777" w:rsidTr="00C45A23">
        <w:tc>
          <w:tcPr>
            <w:tcW w:w="3260" w:type="dxa"/>
            <w:vAlign w:val="center"/>
          </w:tcPr>
          <w:p w14:paraId="044C822B" w14:textId="74E2C30E" w:rsidR="00462309" w:rsidRPr="00D15F0D" w:rsidRDefault="00462309" w:rsidP="00056CCD">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C</w:t>
            </w:r>
            <w:r w:rsidR="00B85D56" w:rsidRPr="00D15F0D">
              <w:rPr>
                <w:rFonts w:ascii="Times New Roman" w:hAnsi="Times New Roman" w:cs="Times New Roman"/>
                <w:b/>
                <w:bCs/>
                <w:sz w:val="28"/>
                <w:szCs w:val="28"/>
              </w:rPr>
              <w:t xml:space="preserve">hính sách </w:t>
            </w:r>
            <w:r w:rsidR="00BC6FA2" w:rsidRPr="00D15F0D">
              <w:rPr>
                <w:rFonts w:ascii="Times New Roman" w:hAnsi="Times New Roman" w:cs="Times New Roman"/>
                <w:b/>
                <w:bCs/>
                <w:sz w:val="28"/>
                <w:szCs w:val="28"/>
              </w:rPr>
              <w:t>6</w:t>
            </w:r>
            <w:r w:rsidR="00B85D56" w:rsidRPr="00D15F0D">
              <w:rPr>
                <w:rFonts w:ascii="Times New Roman" w:hAnsi="Times New Roman" w:cs="Times New Roman"/>
                <w:b/>
                <w:bCs/>
                <w:sz w:val="28"/>
                <w:szCs w:val="28"/>
              </w:rPr>
              <w:t>:</w:t>
            </w:r>
          </w:p>
          <w:p w14:paraId="1E8C8D48" w14:textId="055CD662" w:rsidR="00E23A71" w:rsidRPr="00D15F0D" w:rsidRDefault="00B85D56" w:rsidP="00056CCD">
            <w:pPr>
              <w:spacing w:before="120" w:after="120"/>
              <w:jc w:val="center"/>
              <w:rPr>
                <w:rFonts w:ascii="Times New Roman" w:hAnsi="Times New Roman" w:cs="Times New Roman"/>
                <w:sz w:val="28"/>
                <w:szCs w:val="28"/>
              </w:rPr>
            </w:pPr>
            <w:r w:rsidRPr="00D15F0D">
              <w:rPr>
                <w:rFonts w:ascii="Times New Roman" w:hAnsi="Times New Roman" w:cs="Times New Roman"/>
                <w:b/>
                <w:bCs/>
                <w:sz w:val="28"/>
                <w:szCs w:val="28"/>
              </w:rPr>
              <w:t>Quy định về thanh toán   bù trừ (CCP), lưu ký &amp; giao nhận hàng hóa, dịch vụ hỗ trợ</w:t>
            </w:r>
          </w:p>
        </w:tc>
        <w:tc>
          <w:tcPr>
            <w:tcW w:w="4253" w:type="dxa"/>
          </w:tcPr>
          <w:p w14:paraId="1114D80E" w14:textId="6F6F282A" w:rsidR="00E23A71" w:rsidRPr="00D15F0D" w:rsidRDefault="00462309"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tổ chức thanh toán bù trừ, lưu ký – giao nhận hàng hóa cơ sở, quản lý dữ liệu giao dịch và phát triển các dịch vụ phụ trợ nhằm bảo đảm an toàn, minh bạch và hiệu quả của thị trường hàng hóa phái sinh.</w:t>
            </w:r>
          </w:p>
        </w:tc>
        <w:tc>
          <w:tcPr>
            <w:tcW w:w="6095" w:type="dxa"/>
          </w:tcPr>
          <w:p w14:paraId="3ACD41D5" w14:textId="19F4E0F1" w:rsidR="00462309" w:rsidRPr="00D15F0D" w:rsidRDefault="00462309"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về việc thành lập và hoạt động của tổ chức thanh toán bù trừ (CCP) với chức năng quản lý ký quỹ, quỹ dự phòng và xử lý rủi ro vỡ nợ, đồng thời bảo đảm kết nối an toàn với hệ thống thanh toán quốc gia.</w:t>
            </w:r>
          </w:p>
          <w:p w14:paraId="6A263FFD" w14:textId="77777777" w:rsidR="00462309" w:rsidRPr="00D15F0D" w:rsidRDefault="00462309"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về lưu ký và giao nhận hàng hóa cơ sở gắn với tiêu chuẩn kho bãi, chứng từ lưu ký, kiểm định chất lượng và giải quyết tranh chấp, cũng như quy định về lưu trữ, bảo mật và cung cấp dữ liệu giao dịch phục vụ giám sát.</w:t>
            </w:r>
          </w:p>
          <w:p w14:paraId="67B13CD8" w14:textId="37F65B26" w:rsidR="00E23A71" w:rsidRPr="00D15F0D" w:rsidRDefault="00462309"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về các dịch vụ phụ trợ để phát triển thị trường giao dịch hàng hóa phái sinh như xếp hạng tín nhiệm, cung cấp dữ liệu, tư vấn, đào tạo…</w:t>
            </w:r>
          </w:p>
        </w:tc>
      </w:tr>
      <w:tr w:rsidR="00541294" w:rsidRPr="00D15F0D" w14:paraId="16985670" w14:textId="77777777" w:rsidTr="00C45A23">
        <w:tc>
          <w:tcPr>
            <w:tcW w:w="3260" w:type="dxa"/>
            <w:vMerge w:val="restart"/>
            <w:vAlign w:val="center"/>
          </w:tcPr>
          <w:p w14:paraId="271A614A" w14:textId="5B434D82" w:rsidR="00541294" w:rsidRPr="00D15F0D" w:rsidRDefault="00541294" w:rsidP="00056CCD">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Chính sách </w:t>
            </w:r>
            <w:r w:rsidR="00BC6FA2" w:rsidRPr="00D15F0D">
              <w:rPr>
                <w:rFonts w:ascii="Times New Roman" w:hAnsi="Times New Roman" w:cs="Times New Roman"/>
                <w:b/>
                <w:bCs/>
                <w:sz w:val="28"/>
                <w:szCs w:val="28"/>
              </w:rPr>
              <w:t>7</w:t>
            </w:r>
            <w:r w:rsidRPr="00D15F0D">
              <w:rPr>
                <w:rFonts w:ascii="Times New Roman" w:hAnsi="Times New Roman" w:cs="Times New Roman"/>
                <w:b/>
                <w:bCs/>
                <w:sz w:val="28"/>
                <w:szCs w:val="28"/>
              </w:rPr>
              <w:t>:</w:t>
            </w:r>
          </w:p>
          <w:p w14:paraId="0EB6B1DA" w14:textId="24B893FE" w:rsidR="00541294" w:rsidRPr="00D15F0D" w:rsidRDefault="00541294" w:rsidP="00056CCD">
            <w:pPr>
              <w:spacing w:before="120" w:after="120"/>
              <w:jc w:val="center"/>
              <w:rPr>
                <w:rFonts w:ascii="Times New Roman" w:hAnsi="Times New Roman" w:cs="Times New Roman"/>
                <w:b/>
                <w:bCs/>
                <w:sz w:val="28"/>
                <w:szCs w:val="28"/>
                <w:u w:val="single"/>
              </w:rPr>
            </w:pPr>
            <w:r w:rsidRPr="00D15F0D">
              <w:rPr>
                <w:rFonts w:ascii="Times New Roman" w:hAnsi="Times New Roman" w:cs="Times New Roman"/>
                <w:b/>
                <w:bCs/>
                <w:sz w:val="28"/>
                <w:szCs w:val="28"/>
              </w:rPr>
              <w:t xml:space="preserve">Hoàn thiện quy định về giao dịch xuyên biên giới </w:t>
            </w:r>
          </w:p>
        </w:tc>
        <w:tc>
          <w:tcPr>
            <w:tcW w:w="4253" w:type="dxa"/>
          </w:tcPr>
          <w:p w14:paraId="11D1A528" w14:textId="515CDA2C"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liên thông với Sở giao dịch hàng hóa quốc tế</w:t>
            </w:r>
          </w:p>
        </w:tc>
        <w:tc>
          <w:tcPr>
            <w:tcW w:w="6095" w:type="dxa"/>
          </w:tcPr>
          <w:p w14:paraId="29F64D34" w14:textId="1299FE7B"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nguyên tắc và điều kiện liên thông với Sở giao dịch hàng hóa quốc tế, bao gồm tiêu chí lựa chọn đối tác, yêu cầu về chuẩn công nghệ, an toàn hệ thống và minh bạch thông tin.</w:t>
            </w:r>
          </w:p>
          <w:p w14:paraId="32B9A269" w14:textId="55A176BD"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lastRenderedPageBreak/>
              <w:t>- Chính phủ được quy định chi tiết thủ tục đàm phán, ký kết thỏa thuận liên thông, cơ chế vận hành kỹ thuật cũng như phương thức phối hợp giám sát nhằm bảo đảm hoạt động liên thông diễn ra an toàn, hiệu quả và phù hợp với thông lệ quốc tế.</w:t>
            </w:r>
          </w:p>
        </w:tc>
      </w:tr>
      <w:tr w:rsidR="00541294" w:rsidRPr="00D15F0D" w14:paraId="31173E9B" w14:textId="77777777" w:rsidTr="00C45A23">
        <w:tc>
          <w:tcPr>
            <w:tcW w:w="3260" w:type="dxa"/>
            <w:vMerge/>
            <w:vAlign w:val="center"/>
          </w:tcPr>
          <w:p w14:paraId="6D38B451" w14:textId="77777777" w:rsidR="00541294" w:rsidRPr="00D15F0D" w:rsidRDefault="00541294" w:rsidP="00056CCD">
            <w:pPr>
              <w:spacing w:before="120" w:after="120"/>
              <w:jc w:val="center"/>
              <w:rPr>
                <w:rFonts w:ascii="Times New Roman" w:hAnsi="Times New Roman" w:cs="Times New Roman"/>
                <w:b/>
                <w:bCs/>
                <w:sz w:val="28"/>
                <w:szCs w:val="28"/>
                <w:u w:val="single"/>
              </w:rPr>
            </w:pPr>
          </w:p>
        </w:tc>
        <w:tc>
          <w:tcPr>
            <w:tcW w:w="4253" w:type="dxa"/>
          </w:tcPr>
          <w:p w14:paraId="336A7905" w14:textId="28F69445"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phát triển hợp đồng hàng hóa nội địa ra quốc tế</w:t>
            </w:r>
          </w:p>
        </w:tc>
        <w:tc>
          <w:tcPr>
            <w:tcW w:w="6095" w:type="dxa"/>
          </w:tcPr>
          <w:p w14:paraId="62B7E72A" w14:textId="77777777"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nguyên tắc về trách nhiệm của Sở giao dịch hàng hóa phái sinh Việt Nam trong việc chuẩn hóa hợp đồng, bảo đảm minh bạch, tuân thủ chuẩn mực quốc tế và đáp ứng yêu cầu của thị trường toàn cầu.</w:t>
            </w:r>
          </w:p>
          <w:p w14:paraId="16B17662" w14:textId="6E9F8522"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Chính phủ hướng dẫn chi tiết quy trình thẩm định và phê duyệt sản phẩm trước khi niêm yết quốc tế, cơ chế quản lý và kiểm soát rủi ro phát sinh, cùng với nghĩa vụ báo cáo và chia sẻ thông tin nhằm bảo đảm việc niêm yết hợp đồng hàng hóa nội địa ra quốc tế diễn ra an toàn, hiệu quả và nâng cao uy tín của thị trường Việt Nam.</w:t>
            </w:r>
          </w:p>
        </w:tc>
      </w:tr>
      <w:tr w:rsidR="00541294" w:rsidRPr="00D15F0D" w14:paraId="4143B8D9" w14:textId="77777777" w:rsidTr="00C45A23">
        <w:tc>
          <w:tcPr>
            <w:tcW w:w="3260" w:type="dxa"/>
            <w:vMerge/>
            <w:vAlign w:val="center"/>
          </w:tcPr>
          <w:p w14:paraId="63C99234" w14:textId="77777777" w:rsidR="00541294" w:rsidRPr="00D15F0D" w:rsidRDefault="00541294" w:rsidP="00056CCD">
            <w:pPr>
              <w:spacing w:before="120" w:after="120"/>
              <w:jc w:val="center"/>
              <w:rPr>
                <w:rFonts w:ascii="Times New Roman" w:hAnsi="Times New Roman" w:cs="Times New Roman"/>
                <w:b/>
                <w:bCs/>
                <w:sz w:val="28"/>
                <w:szCs w:val="28"/>
                <w:u w:val="single"/>
              </w:rPr>
            </w:pPr>
          </w:p>
        </w:tc>
        <w:tc>
          <w:tcPr>
            <w:tcW w:w="4253" w:type="dxa"/>
          </w:tcPr>
          <w:p w14:paraId="46FAC32F" w14:textId="35014BE0"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quản lý rủi ro trong hoạt động liên thông</w:t>
            </w:r>
          </w:p>
        </w:tc>
        <w:tc>
          <w:tcPr>
            <w:tcW w:w="6095" w:type="dxa"/>
          </w:tcPr>
          <w:p w14:paraId="1D1ECA4D" w14:textId="5E64603B" w:rsidR="00541294" w:rsidRPr="00D15F0D" w:rsidRDefault="00541294"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về nguyên tắc quản lý rủi ro xuyên biên giới, trong đó phân định rõ trách nhiệm giữa Sở giao dịch hàng hóa phái sinh Việt Nam và đối tác quốc tế trong các trường hợp xảy ra sự cố kỹ thuật, vỡ nợ thanh toán hoặc tranh chấp giao nhận có yếu tố nước ngoài. - Chính phủ quy định về bảo vệ quyền lợi hợp pháp của nhà đầu tư, nhằm bảo đảm hoạt động liên thông diễn ra an toàn và bền vững.</w:t>
            </w:r>
          </w:p>
        </w:tc>
      </w:tr>
      <w:tr w:rsidR="00541294" w:rsidRPr="00D15F0D" w14:paraId="4B97C1FE" w14:textId="77777777" w:rsidTr="00C45A23">
        <w:tc>
          <w:tcPr>
            <w:tcW w:w="3260" w:type="dxa"/>
            <w:vAlign w:val="center"/>
          </w:tcPr>
          <w:p w14:paraId="2CB6B57D" w14:textId="0CB81861" w:rsidR="00541294" w:rsidRPr="00D15F0D" w:rsidRDefault="00541294" w:rsidP="00541294">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 xml:space="preserve">Chính sách </w:t>
            </w:r>
            <w:r w:rsidR="00BC6FA2" w:rsidRPr="00D15F0D">
              <w:rPr>
                <w:rFonts w:ascii="Times New Roman" w:hAnsi="Times New Roman" w:cs="Times New Roman"/>
                <w:b/>
                <w:bCs/>
                <w:sz w:val="28"/>
                <w:szCs w:val="28"/>
              </w:rPr>
              <w:t>8</w:t>
            </w:r>
            <w:r w:rsidRPr="00D15F0D">
              <w:rPr>
                <w:rFonts w:ascii="Times New Roman" w:hAnsi="Times New Roman" w:cs="Times New Roman"/>
                <w:b/>
                <w:bCs/>
                <w:sz w:val="28"/>
                <w:szCs w:val="28"/>
              </w:rPr>
              <w:t>:</w:t>
            </w:r>
          </w:p>
          <w:p w14:paraId="07B5A291" w14:textId="785D3FFE" w:rsidR="00541294" w:rsidRPr="00D15F0D" w:rsidRDefault="00541294" w:rsidP="00541294">
            <w:pPr>
              <w:spacing w:before="120" w:after="120"/>
              <w:jc w:val="center"/>
              <w:rPr>
                <w:rFonts w:ascii="Times New Roman" w:hAnsi="Times New Roman" w:cs="Times New Roman"/>
                <w:b/>
                <w:bCs/>
                <w:sz w:val="28"/>
                <w:szCs w:val="28"/>
                <w:u w:val="single"/>
              </w:rPr>
            </w:pPr>
            <w:r w:rsidRPr="00D15F0D">
              <w:rPr>
                <w:rFonts w:ascii="Times New Roman" w:hAnsi="Times New Roman" w:cs="Times New Roman"/>
                <w:b/>
                <w:bCs/>
                <w:sz w:val="28"/>
                <w:szCs w:val="28"/>
              </w:rPr>
              <w:lastRenderedPageBreak/>
              <w:t>Hoàn thiện quy định về công bố thông tin và báo cáo</w:t>
            </w:r>
          </w:p>
        </w:tc>
        <w:tc>
          <w:tcPr>
            <w:tcW w:w="4253" w:type="dxa"/>
          </w:tcPr>
          <w:p w14:paraId="2C6CED55" w14:textId="77777777" w:rsidR="00541294" w:rsidRPr="00D15F0D" w:rsidRDefault="00541294" w:rsidP="00541294">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lastRenderedPageBreak/>
              <w:t xml:space="preserve">Quy định nghĩa vụ công bố thông tin và chế độ báo cáo minh bạch, kịp thời, đồng thời bảo đảm cân bằng giữa minh bạch dữ liệu và bảo mật </w:t>
            </w:r>
            <w:r w:rsidRPr="00D15F0D">
              <w:rPr>
                <w:rFonts w:ascii="Times New Roman" w:hAnsi="Times New Roman" w:cs="Times New Roman"/>
                <w:sz w:val="28"/>
                <w:szCs w:val="28"/>
              </w:rPr>
              <w:lastRenderedPageBreak/>
              <w:t>thông tin nhạy cảm trong hoạt động giao dịch hàng hóa phái sinh.</w:t>
            </w:r>
          </w:p>
          <w:p w14:paraId="5E2A45C1" w14:textId="77777777" w:rsidR="00541294" w:rsidRPr="00D15F0D" w:rsidRDefault="00541294" w:rsidP="00541294">
            <w:pPr>
              <w:spacing w:before="120" w:after="120"/>
              <w:jc w:val="both"/>
              <w:rPr>
                <w:rFonts w:ascii="Times New Roman" w:hAnsi="Times New Roman" w:cs="Times New Roman"/>
                <w:sz w:val="28"/>
                <w:szCs w:val="28"/>
              </w:rPr>
            </w:pPr>
          </w:p>
        </w:tc>
        <w:tc>
          <w:tcPr>
            <w:tcW w:w="6095" w:type="dxa"/>
          </w:tcPr>
          <w:p w14:paraId="69D9ABAB" w14:textId="77777777" w:rsidR="00541294" w:rsidRPr="00D15F0D" w:rsidRDefault="00541294" w:rsidP="00541294">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lastRenderedPageBreak/>
              <w:t xml:space="preserve">- Quy định về nghĩa vụ công bố thông tin và chế độ báo cáo minh bạch, kịp thời nhằm bảo đảm giám sát hiệu quả và bảo vệ nhà đầu tư. Theo đó, Sở giao dịch và các thành viên thị trường có trách nhiệm công bố </w:t>
            </w:r>
            <w:r w:rsidRPr="00D15F0D">
              <w:rPr>
                <w:rFonts w:ascii="Times New Roman" w:hAnsi="Times New Roman" w:cs="Times New Roman"/>
                <w:sz w:val="28"/>
                <w:szCs w:val="28"/>
              </w:rPr>
              <w:lastRenderedPageBreak/>
              <w:t>công khai thông số hợp đồng, báo cáo định kỳ và báo cáo đột xuất khi thị trường có biến động bất thường, đồng thời thực hiện báo cáo vị thế lớn để phòng ngừa rủi ro thao túng.</w:t>
            </w:r>
          </w:p>
          <w:p w14:paraId="5E9BBE7F" w14:textId="77777777" w:rsidR="00541294" w:rsidRPr="00D15F0D" w:rsidRDefault="00541294" w:rsidP="00541294">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nguyên tắc về công bố thông tin, chế độ báo cáo và công khai dữ liệu</w:t>
            </w:r>
          </w:p>
          <w:p w14:paraId="16C2D5FB" w14:textId="17E80640" w:rsidR="00541294" w:rsidRPr="00D15F0D" w:rsidRDefault="00541294" w:rsidP="00541294">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Chính phủ quy định chi tiết về nội dung, tần suất, hình thức công bố, cơ chế lưu ký và phân quyền truy cập dữ liệu cho cơ quan quản lý.</w:t>
            </w:r>
          </w:p>
        </w:tc>
      </w:tr>
      <w:tr w:rsidR="00AB67FA" w:rsidRPr="00D15F0D" w14:paraId="10A7F798" w14:textId="77777777" w:rsidTr="00C45A23">
        <w:tc>
          <w:tcPr>
            <w:tcW w:w="3260" w:type="dxa"/>
            <w:vMerge w:val="restart"/>
            <w:vAlign w:val="center"/>
          </w:tcPr>
          <w:p w14:paraId="6A371ABC" w14:textId="4BC512D6" w:rsidR="00AB67FA" w:rsidRPr="00D15F0D" w:rsidRDefault="00AB67FA" w:rsidP="00541294">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lastRenderedPageBreak/>
              <w:t xml:space="preserve">Chính sách </w:t>
            </w:r>
            <w:r w:rsidR="00BC6FA2" w:rsidRPr="00D15F0D">
              <w:rPr>
                <w:rFonts w:ascii="Times New Roman" w:hAnsi="Times New Roman" w:cs="Times New Roman"/>
                <w:b/>
                <w:bCs/>
                <w:sz w:val="28"/>
                <w:szCs w:val="28"/>
              </w:rPr>
              <w:t>9</w:t>
            </w:r>
            <w:r w:rsidRPr="00D15F0D">
              <w:rPr>
                <w:rFonts w:ascii="Times New Roman" w:hAnsi="Times New Roman" w:cs="Times New Roman"/>
                <w:b/>
                <w:bCs/>
                <w:sz w:val="28"/>
                <w:szCs w:val="28"/>
              </w:rPr>
              <w:t>:</w:t>
            </w:r>
          </w:p>
          <w:p w14:paraId="0DB37FC4" w14:textId="74076811" w:rsidR="00AB67FA" w:rsidRPr="00D15F0D" w:rsidRDefault="00AB67FA" w:rsidP="00541294">
            <w:pPr>
              <w:spacing w:before="120" w:after="120"/>
              <w:jc w:val="center"/>
              <w:rPr>
                <w:rFonts w:ascii="Times New Roman" w:hAnsi="Times New Roman" w:cs="Times New Roman"/>
                <w:b/>
                <w:bCs/>
                <w:sz w:val="28"/>
                <w:szCs w:val="28"/>
              </w:rPr>
            </w:pPr>
            <w:r w:rsidRPr="00D15F0D">
              <w:rPr>
                <w:rFonts w:ascii="Times New Roman" w:hAnsi="Times New Roman" w:cs="Times New Roman"/>
                <w:b/>
                <w:bCs/>
                <w:sz w:val="28"/>
                <w:szCs w:val="28"/>
              </w:rPr>
              <w:t>Quy định về phòng ngừa rủi ro, xử lý vi phạm và giải quyết tranh chấp</w:t>
            </w:r>
          </w:p>
        </w:tc>
        <w:tc>
          <w:tcPr>
            <w:tcW w:w="4253" w:type="dxa"/>
          </w:tcPr>
          <w:p w14:paraId="3A393E85" w14:textId="5E3B4FB0"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quản trị rủi ro hệ thống và xử lý sự cố kỹ thuật</w:t>
            </w:r>
          </w:p>
        </w:tc>
        <w:tc>
          <w:tcPr>
            <w:tcW w:w="6095" w:type="dxa"/>
          </w:tcPr>
          <w:p w14:paraId="4120569F" w14:textId="51BB6833"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nguyên tắc quản trị rủi ro hệ thống thông qua cơ chế giám sát dựa trên rủi ro, cảnh báo sớm và kiểm tra định kỳ an toàn hạ tầng công nghệ; đồng thời cho phép áp dụng biện pháp can thiệp khẩn cấp như điều chỉnh ký quỹ, giới hạn vị thế, tạm dừng giao dịch hoặc bảo đảm thanh toán. Chính phủ quy định chi tiết quy trình giám sát và ứng phó trong từng trường hợp cụ thể.</w:t>
            </w:r>
          </w:p>
        </w:tc>
      </w:tr>
      <w:tr w:rsidR="00AB67FA" w:rsidRPr="00D15F0D" w14:paraId="1DFD3877" w14:textId="77777777" w:rsidTr="00C45A23">
        <w:tc>
          <w:tcPr>
            <w:tcW w:w="3260" w:type="dxa"/>
            <w:vMerge/>
            <w:vAlign w:val="center"/>
          </w:tcPr>
          <w:p w14:paraId="16D22FEE" w14:textId="77777777" w:rsidR="00AB67FA" w:rsidRPr="00D15F0D" w:rsidRDefault="00AB67FA" w:rsidP="00056CCD">
            <w:pPr>
              <w:spacing w:before="120" w:after="120"/>
              <w:jc w:val="center"/>
              <w:rPr>
                <w:rFonts w:ascii="Times New Roman" w:hAnsi="Times New Roman" w:cs="Times New Roman"/>
                <w:b/>
                <w:bCs/>
                <w:sz w:val="28"/>
                <w:szCs w:val="28"/>
                <w:u w:val="single"/>
              </w:rPr>
            </w:pPr>
          </w:p>
        </w:tc>
        <w:tc>
          <w:tcPr>
            <w:tcW w:w="4253" w:type="dxa"/>
          </w:tcPr>
          <w:p w14:paraId="1885694C" w14:textId="2B6FC210"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về chế tài xử phạt và bảo vệ quyền lợi nhà đầu tư</w:t>
            </w:r>
          </w:p>
        </w:tc>
        <w:tc>
          <w:tcPr>
            <w:tcW w:w="6095" w:type="dxa"/>
          </w:tcPr>
          <w:p w14:paraId="568F0569" w14:textId="7B1BDE4D"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Phân loại hành vi vi phạm trong hoạt động giao dịch hàng hóa phái sinh và áp dụng chế tài tương ứng.</w:t>
            </w:r>
          </w:p>
          <w:p w14:paraId="5125460D" w14:textId="13BABBB3"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Quy định cơ chế bảo vệ quyền lợi nhà đầu tư thông qua Quỹ bảo vệ, cơ chế chi trả bồi thường, nguyên tắc ưu tiên khi thành viên vỡ nợ, cùng với quy định chi tiết về quản lý, sử dụng quỹ và trách nhiệm phối hợp của các chủ thể liên quan.</w:t>
            </w:r>
          </w:p>
        </w:tc>
      </w:tr>
      <w:tr w:rsidR="00AB67FA" w:rsidRPr="00D15F0D" w14:paraId="22ED32CE" w14:textId="77777777" w:rsidTr="00C45A23">
        <w:tc>
          <w:tcPr>
            <w:tcW w:w="3260" w:type="dxa"/>
            <w:vMerge/>
            <w:vAlign w:val="center"/>
          </w:tcPr>
          <w:p w14:paraId="663EBF42" w14:textId="77777777" w:rsidR="00AB67FA" w:rsidRPr="00D15F0D" w:rsidRDefault="00AB67FA" w:rsidP="00056CCD">
            <w:pPr>
              <w:spacing w:before="120" w:after="120"/>
              <w:jc w:val="center"/>
              <w:rPr>
                <w:rFonts w:ascii="Times New Roman" w:hAnsi="Times New Roman" w:cs="Times New Roman"/>
                <w:b/>
                <w:bCs/>
                <w:sz w:val="28"/>
                <w:szCs w:val="28"/>
                <w:u w:val="single"/>
              </w:rPr>
            </w:pPr>
          </w:p>
        </w:tc>
        <w:tc>
          <w:tcPr>
            <w:tcW w:w="4253" w:type="dxa"/>
          </w:tcPr>
          <w:p w14:paraId="103C43E3" w14:textId="521916E5"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Quy định cơ chế giải quyết tranh chấp</w:t>
            </w:r>
          </w:p>
        </w:tc>
        <w:tc>
          <w:tcPr>
            <w:tcW w:w="6095" w:type="dxa"/>
          </w:tcPr>
          <w:p w14:paraId="2F4F7401" w14:textId="77777777"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 xml:space="preserve">Quy định cơ chế giải quyết tranh chấp theo trình tự ưu tiên từ thương lượng, hòa giải, trọng tài chuyên ngành đến tòa án, đồng thời phân định rõ thẩm quyền </w:t>
            </w:r>
            <w:r w:rsidRPr="00D15F0D">
              <w:rPr>
                <w:rFonts w:ascii="Times New Roman" w:hAnsi="Times New Roman" w:cs="Times New Roman"/>
                <w:sz w:val="28"/>
                <w:szCs w:val="28"/>
              </w:rPr>
              <w:lastRenderedPageBreak/>
              <w:t>và trình tự nhằm tránh chồng chéo, bảo đảm minh bạch, nhanh chóng và hiệu quả.</w:t>
            </w:r>
          </w:p>
          <w:p w14:paraId="73050712" w14:textId="36B3EB1C" w:rsidR="00AB67FA" w:rsidRPr="00D15F0D" w:rsidRDefault="00AB67FA" w:rsidP="00062388">
            <w:pPr>
              <w:spacing w:before="120" w:after="120"/>
              <w:jc w:val="both"/>
              <w:rPr>
                <w:rFonts w:ascii="Times New Roman" w:hAnsi="Times New Roman" w:cs="Times New Roman"/>
                <w:sz w:val="28"/>
                <w:szCs w:val="28"/>
              </w:rPr>
            </w:pPr>
            <w:r w:rsidRPr="00D15F0D">
              <w:rPr>
                <w:rFonts w:ascii="Times New Roman" w:hAnsi="Times New Roman" w:cs="Times New Roman"/>
                <w:sz w:val="28"/>
                <w:szCs w:val="28"/>
              </w:rPr>
              <w:t>Chính phủ hướng dẫn chi tiết quy trình hòa giải, công nhận phán quyết trọng tài và thi hành án.</w:t>
            </w:r>
          </w:p>
        </w:tc>
      </w:tr>
    </w:tbl>
    <w:p w14:paraId="65C09450" w14:textId="2747C407" w:rsidR="00E00E92" w:rsidRDefault="00BC6FA2" w:rsidP="00E00E92">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14:paraId="07380A20" w14:textId="0BE92F57" w:rsidR="006B7861" w:rsidRDefault="006B7861" w:rsidP="00E00E92">
      <w:pPr>
        <w:spacing w:before="120" w:after="120" w:line="240" w:lineRule="auto"/>
        <w:jc w:val="both"/>
        <w:rPr>
          <w:rFonts w:ascii="Times New Roman" w:hAnsi="Times New Roman" w:cs="Times New Roman"/>
          <w:sz w:val="28"/>
          <w:szCs w:val="28"/>
        </w:rPr>
      </w:pPr>
    </w:p>
    <w:p w14:paraId="0BC9DB8C" w14:textId="59F85383" w:rsidR="006B7861" w:rsidRDefault="006B7861" w:rsidP="00E00E92">
      <w:pPr>
        <w:spacing w:before="120" w:after="120" w:line="240" w:lineRule="auto"/>
        <w:jc w:val="both"/>
        <w:rPr>
          <w:rFonts w:ascii="Times New Roman" w:hAnsi="Times New Roman" w:cs="Times New Roman"/>
          <w:sz w:val="28"/>
          <w:szCs w:val="28"/>
        </w:rPr>
      </w:pPr>
    </w:p>
    <w:p w14:paraId="26A8B7A3" w14:textId="3199A309" w:rsidR="006B7861" w:rsidRDefault="006B7861" w:rsidP="00E00E92">
      <w:pPr>
        <w:spacing w:before="120" w:after="120" w:line="240" w:lineRule="auto"/>
        <w:jc w:val="both"/>
        <w:rPr>
          <w:rFonts w:ascii="Times New Roman" w:hAnsi="Times New Roman" w:cs="Times New Roman"/>
          <w:sz w:val="28"/>
          <w:szCs w:val="28"/>
        </w:rPr>
      </w:pPr>
    </w:p>
    <w:p w14:paraId="6E105A4C" w14:textId="04650123" w:rsidR="006B7861" w:rsidRDefault="006B7861" w:rsidP="00E00E92">
      <w:pPr>
        <w:spacing w:before="120" w:after="120" w:line="240" w:lineRule="auto"/>
        <w:jc w:val="both"/>
        <w:rPr>
          <w:rFonts w:ascii="Times New Roman" w:hAnsi="Times New Roman" w:cs="Times New Roman"/>
          <w:sz w:val="28"/>
          <w:szCs w:val="28"/>
        </w:rPr>
      </w:pPr>
    </w:p>
    <w:p w14:paraId="31E94201" w14:textId="5C95F33C" w:rsidR="006B7861" w:rsidRDefault="006B7861" w:rsidP="00E00E92">
      <w:pPr>
        <w:spacing w:before="120" w:after="120" w:line="240" w:lineRule="auto"/>
        <w:jc w:val="both"/>
        <w:rPr>
          <w:rFonts w:ascii="Times New Roman" w:hAnsi="Times New Roman" w:cs="Times New Roman"/>
          <w:sz w:val="28"/>
          <w:szCs w:val="28"/>
        </w:rPr>
      </w:pPr>
    </w:p>
    <w:p w14:paraId="7FA11A96" w14:textId="6285EBDE" w:rsidR="006B7861" w:rsidRDefault="006B7861" w:rsidP="00E00E92">
      <w:pPr>
        <w:spacing w:before="120" w:after="120" w:line="240" w:lineRule="auto"/>
        <w:jc w:val="both"/>
        <w:rPr>
          <w:rFonts w:ascii="Times New Roman" w:hAnsi="Times New Roman" w:cs="Times New Roman"/>
          <w:sz w:val="28"/>
          <w:szCs w:val="28"/>
        </w:rPr>
      </w:pPr>
    </w:p>
    <w:p w14:paraId="46B69BC2" w14:textId="668241D5" w:rsidR="006B7861" w:rsidRDefault="006B7861" w:rsidP="00E00E92">
      <w:pPr>
        <w:spacing w:before="120" w:after="120" w:line="240" w:lineRule="auto"/>
        <w:jc w:val="both"/>
        <w:rPr>
          <w:rFonts w:ascii="Times New Roman" w:hAnsi="Times New Roman" w:cs="Times New Roman"/>
          <w:sz w:val="28"/>
          <w:szCs w:val="28"/>
        </w:rPr>
      </w:pPr>
    </w:p>
    <w:p w14:paraId="2E2478D9" w14:textId="483CE8F6" w:rsidR="006B7861" w:rsidRDefault="006B7861" w:rsidP="00E00E92">
      <w:pPr>
        <w:spacing w:before="120" w:after="120" w:line="240" w:lineRule="auto"/>
        <w:jc w:val="both"/>
        <w:rPr>
          <w:rFonts w:ascii="Times New Roman" w:hAnsi="Times New Roman" w:cs="Times New Roman"/>
          <w:sz w:val="28"/>
          <w:szCs w:val="28"/>
        </w:rPr>
      </w:pPr>
    </w:p>
    <w:p w14:paraId="63C1EDD2" w14:textId="21CD83EE" w:rsidR="006B7861" w:rsidRDefault="006B7861" w:rsidP="00E00E92">
      <w:pPr>
        <w:spacing w:before="120" w:after="120" w:line="240" w:lineRule="auto"/>
        <w:jc w:val="both"/>
        <w:rPr>
          <w:rFonts w:ascii="Times New Roman" w:hAnsi="Times New Roman" w:cs="Times New Roman"/>
          <w:sz w:val="28"/>
          <w:szCs w:val="28"/>
        </w:rPr>
      </w:pPr>
    </w:p>
    <w:p w14:paraId="644B17DA" w14:textId="2FDEF098" w:rsidR="006B7861" w:rsidRDefault="006B7861" w:rsidP="00E00E92">
      <w:pPr>
        <w:spacing w:before="120" w:after="120" w:line="240" w:lineRule="auto"/>
        <w:jc w:val="both"/>
        <w:rPr>
          <w:rFonts w:ascii="Times New Roman" w:hAnsi="Times New Roman" w:cs="Times New Roman"/>
          <w:sz w:val="28"/>
          <w:szCs w:val="28"/>
        </w:rPr>
      </w:pPr>
    </w:p>
    <w:p w14:paraId="16C0CE5D" w14:textId="7DB982C6" w:rsidR="006B7861" w:rsidRDefault="006B7861" w:rsidP="00E00E92">
      <w:pPr>
        <w:spacing w:before="120" w:after="120" w:line="240" w:lineRule="auto"/>
        <w:jc w:val="both"/>
        <w:rPr>
          <w:rFonts w:ascii="Times New Roman" w:hAnsi="Times New Roman" w:cs="Times New Roman"/>
          <w:sz w:val="28"/>
          <w:szCs w:val="28"/>
        </w:rPr>
      </w:pPr>
    </w:p>
    <w:p w14:paraId="50DAE096" w14:textId="77E6C1AA" w:rsidR="006B7861" w:rsidRDefault="006B7861" w:rsidP="00E00E92">
      <w:pPr>
        <w:spacing w:before="120" w:after="120" w:line="240" w:lineRule="auto"/>
        <w:jc w:val="both"/>
        <w:rPr>
          <w:rFonts w:ascii="Times New Roman" w:hAnsi="Times New Roman" w:cs="Times New Roman"/>
          <w:sz w:val="28"/>
          <w:szCs w:val="28"/>
        </w:rPr>
      </w:pPr>
    </w:p>
    <w:p w14:paraId="6AA09B87" w14:textId="2E7B8527" w:rsidR="006B7861" w:rsidRDefault="006B7861" w:rsidP="00E00E92">
      <w:pPr>
        <w:spacing w:before="120" w:after="120" w:line="240" w:lineRule="auto"/>
        <w:jc w:val="both"/>
        <w:rPr>
          <w:rFonts w:ascii="Times New Roman" w:hAnsi="Times New Roman" w:cs="Times New Roman"/>
          <w:sz w:val="28"/>
          <w:szCs w:val="28"/>
        </w:rPr>
      </w:pPr>
    </w:p>
    <w:p w14:paraId="53AFED5A" w14:textId="1F317AC7" w:rsidR="006B7861" w:rsidRDefault="006B7861" w:rsidP="00E00E92">
      <w:pPr>
        <w:spacing w:before="120" w:after="120" w:line="240" w:lineRule="auto"/>
        <w:jc w:val="both"/>
        <w:rPr>
          <w:rFonts w:ascii="Times New Roman" w:hAnsi="Times New Roman" w:cs="Times New Roman"/>
          <w:sz w:val="28"/>
          <w:szCs w:val="28"/>
        </w:rPr>
      </w:pPr>
    </w:p>
    <w:p w14:paraId="483FD90B" w14:textId="5476500A" w:rsidR="006B7861" w:rsidRDefault="006B7861" w:rsidP="00E00E92">
      <w:pPr>
        <w:spacing w:before="120" w:after="120" w:line="240" w:lineRule="auto"/>
        <w:jc w:val="both"/>
        <w:rPr>
          <w:rFonts w:ascii="Times New Roman" w:hAnsi="Times New Roman" w:cs="Times New Roman"/>
          <w:sz w:val="28"/>
          <w:szCs w:val="28"/>
        </w:rPr>
      </w:pPr>
    </w:p>
    <w:p w14:paraId="59E96FB1" w14:textId="6B6EADE4" w:rsidR="006B7861" w:rsidRDefault="006B7861" w:rsidP="00E00E92">
      <w:pPr>
        <w:spacing w:before="120" w:after="120" w:line="240" w:lineRule="auto"/>
        <w:jc w:val="both"/>
        <w:rPr>
          <w:rFonts w:ascii="Times New Roman" w:hAnsi="Times New Roman" w:cs="Times New Roman"/>
          <w:sz w:val="28"/>
          <w:szCs w:val="28"/>
        </w:rPr>
      </w:pPr>
    </w:p>
    <w:p w14:paraId="5B18ED1C" w14:textId="77777777" w:rsidR="006B7861" w:rsidRDefault="006B7861" w:rsidP="00E00E92">
      <w:pPr>
        <w:spacing w:before="120" w:after="120" w:line="240" w:lineRule="auto"/>
        <w:jc w:val="both"/>
        <w:rPr>
          <w:rFonts w:ascii="Times New Roman" w:hAnsi="Times New Roman" w:cs="Times New Roman"/>
          <w:sz w:val="28"/>
          <w:szCs w:val="28"/>
        </w:rPr>
        <w:sectPr w:rsidR="006B7861" w:rsidSect="009071B4">
          <w:headerReference w:type="default" r:id="rId7"/>
          <w:headerReference w:type="first" r:id="rId8"/>
          <w:pgSz w:w="16840" w:h="11907" w:orient="landscape" w:code="9"/>
          <w:pgMar w:top="1134" w:right="1134" w:bottom="851" w:left="1701" w:header="340" w:footer="0" w:gutter="0"/>
          <w:paperSrc w:first="7" w:other="7"/>
          <w:cols w:space="720"/>
          <w:docGrid w:linePitch="360"/>
        </w:sectPr>
      </w:pPr>
    </w:p>
    <w:p w14:paraId="101206CE" w14:textId="48A5487C" w:rsidR="006B7861" w:rsidRPr="006B7861" w:rsidRDefault="006B7861" w:rsidP="006B7861">
      <w:pPr>
        <w:spacing w:before="120" w:after="120" w:line="240" w:lineRule="auto"/>
        <w:jc w:val="center"/>
        <w:rPr>
          <w:rFonts w:ascii="Times New Roman" w:hAnsi="Times New Roman" w:cs="Times New Roman"/>
          <w:b/>
          <w:bCs/>
          <w:sz w:val="28"/>
          <w:szCs w:val="28"/>
        </w:rPr>
      </w:pPr>
      <w:r w:rsidRPr="006B7861">
        <w:rPr>
          <w:rFonts w:ascii="Times New Roman" w:hAnsi="Times New Roman" w:cs="Times New Roman"/>
          <w:b/>
          <w:bCs/>
          <w:sz w:val="28"/>
          <w:szCs w:val="28"/>
        </w:rPr>
        <w:lastRenderedPageBreak/>
        <w:t>PHỤ LỤC:</w:t>
      </w:r>
    </w:p>
    <w:p w14:paraId="22CF5F84" w14:textId="77777777" w:rsidR="001945E4" w:rsidRDefault="006B7861" w:rsidP="006B7861">
      <w:pPr>
        <w:spacing w:before="120" w:after="120" w:line="240" w:lineRule="auto"/>
        <w:jc w:val="center"/>
        <w:rPr>
          <w:rFonts w:ascii="Times New Roman" w:hAnsi="Times New Roman" w:cs="Times New Roman"/>
          <w:b/>
          <w:bCs/>
          <w:sz w:val="28"/>
          <w:szCs w:val="28"/>
        </w:rPr>
      </w:pPr>
      <w:r w:rsidRPr="006B7861">
        <w:rPr>
          <w:rFonts w:ascii="Times New Roman" w:hAnsi="Times New Roman" w:cs="Times New Roman"/>
          <w:b/>
          <w:bCs/>
          <w:sz w:val="28"/>
          <w:szCs w:val="28"/>
        </w:rPr>
        <w:t xml:space="preserve">THUYẾT MINH QUY PHẠM HÓA CHÍNH SÁCH CỦA </w:t>
      </w:r>
    </w:p>
    <w:p w14:paraId="07DAABCB" w14:textId="2AF5CE95" w:rsidR="006B7861" w:rsidRDefault="006B7861" w:rsidP="006B7861">
      <w:pPr>
        <w:spacing w:before="120" w:after="120" w:line="240" w:lineRule="auto"/>
        <w:jc w:val="center"/>
        <w:rPr>
          <w:rFonts w:ascii="Times New Roman" w:hAnsi="Times New Roman" w:cs="Times New Roman"/>
          <w:b/>
          <w:bCs/>
          <w:sz w:val="28"/>
          <w:szCs w:val="28"/>
        </w:rPr>
      </w:pPr>
      <w:r w:rsidRPr="006B7861">
        <w:rPr>
          <w:rFonts w:ascii="Times New Roman" w:hAnsi="Times New Roman" w:cs="Times New Roman"/>
          <w:b/>
          <w:bCs/>
          <w:sz w:val="28"/>
          <w:szCs w:val="28"/>
        </w:rPr>
        <w:t>LUẬT GIAO DỊCH HÀNG HÓA PHÁI SINH</w:t>
      </w:r>
    </w:p>
    <w:p w14:paraId="3302EE9D" w14:textId="77777777" w:rsidR="00251D93" w:rsidRDefault="00251D93" w:rsidP="006B7861">
      <w:pPr>
        <w:spacing w:before="120" w:after="120" w:line="240" w:lineRule="auto"/>
        <w:jc w:val="center"/>
        <w:rPr>
          <w:rFonts w:ascii="Times New Roman" w:hAnsi="Times New Roman" w:cs="Times New Roman"/>
          <w:b/>
          <w:bCs/>
          <w:sz w:val="28"/>
          <w:szCs w:val="28"/>
        </w:rPr>
      </w:pPr>
    </w:p>
    <w:p w14:paraId="60568E57" w14:textId="5D629B89" w:rsidR="00251D93" w:rsidRPr="00251D93" w:rsidRDefault="00251D93" w:rsidP="00D464EE">
      <w:pPr>
        <w:spacing w:before="120" w:after="12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Pr="00251D93">
        <w:rPr>
          <w:rFonts w:ascii="Times New Roman" w:hAnsi="Times New Roman" w:cs="Times New Roman"/>
          <w:b/>
          <w:bCs/>
          <w:sz w:val="28"/>
          <w:szCs w:val="28"/>
        </w:rPr>
        <w:t>Chính sách 1: Quy định về phạm vi điều chỉnh, định nghĩa, nguyên tắc quản lý và định hướng phát triển thị trường</w:t>
      </w:r>
    </w:p>
    <w:p w14:paraId="739F7818" w14:textId="1288D7A0" w:rsidR="00251D93" w:rsidRDefault="00251D93" w:rsidP="00D464EE">
      <w:pPr>
        <w:spacing w:before="120" w:after="120" w:line="240" w:lineRule="auto"/>
        <w:ind w:firstLine="720"/>
        <w:jc w:val="both"/>
        <w:rPr>
          <w:rFonts w:ascii="Times New Roman" w:hAnsi="Times New Roman" w:cs="Times New Roman"/>
          <w:b/>
          <w:bCs/>
          <w:i/>
          <w:iCs/>
          <w:sz w:val="28"/>
          <w:szCs w:val="28"/>
        </w:rPr>
      </w:pPr>
      <w:r w:rsidRPr="00251D93">
        <w:rPr>
          <w:rFonts w:ascii="Times New Roman" w:hAnsi="Times New Roman" w:cs="Times New Roman"/>
          <w:b/>
          <w:bCs/>
          <w:i/>
          <w:iCs/>
          <w:sz w:val="28"/>
          <w:szCs w:val="28"/>
        </w:rPr>
        <w:t>1.1. Quy định phạm vi điều chỉnh và đối tượng áp dụng</w:t>
      </w:r>
    </w:p>
    <w:p w14:paraId="2BDEFE85" w14:textId="77777777" w:rsidR="003124B4" w:rsidRDefault="00D464EE" w:rsidP="00D464EE">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Dự thảo </w:t>
      </w:r>
      <w:r w:rsidR="003124B4">
        <w:rPr>
          <w:rFonts w:ascii="Times New Roman" w:hAnsi="Times New Roman" w:cs="Times New Roman"/>
          <w:sz w:val="28"/>
          <w:szCs w:val="28"/>
        </w:rPr>
        <w:t xml:space="preserve">đề cương Luật đã </w:t>
      </w:r>
      <w:r w:rsidRPr="00D464EE">
        <w:rPr>
          <w:rFonts w:ascii="Times New Roman" w:hAnsi="Times New Roman" w:cs="Times New Roman"/>
          <w:sz w:val="28"/>
          <w:szCs w:val="28"/>
        </w:rPr>
        <w:t>xác định rõ phạm vi điều chỉnh nhằm bao quát toàn bộ hoạt động giao dịch hàng hóa phái sinh, từ khâu tổ chức, vận hành thị trường, quản lý, giám sát đến quyền và nghĩa vụ của các chủ thể tham gia.</w:t>
      </w:r>
    </w:p>
    <w:p w14:paraId="26C4DFC1" w14:textId="3913137A" w:rsidR="00251D93" w:rsidRPr="00D464EE" w:rsidRDefault="00D464EE" w:rsidP="00D464EE">
      <w:pPr>
        <w:spacing w:before="120" w:after="120" w:line="240" w:lineRule="auto"/>
        <w:ind w:firstLine="720"/>
        <w:jc w:val="both"/>
        <w:rPr>
          <w:rFonts w:ascii="Times New Roman" w:hAnsi="Times New Roman" w:cs="Times New Roman"/>
          <w:b/>
          <w:bCs/>
          <w:i/>
          <w:iCs/>
          <w:sz w:val="28"/>
          <w:szCs w:val="28"/>
        </w:rPr>
      </w:pPr>
      <w:r w:rsidRPr="00D464EE">
        <w:rPr>
          <w:rFonts w:ascii="Times New Roman" w:hAnsi="Times New Roman" w:cs="Times New Roman"/>
          <w:sz w:val="28"/>
          <w:szCs w:val="28"/>
        </w:rPr>
        <w:t>Đối tượng áp dụng gồm: Sở Giao dịch hàng hóa phái sinh, thành viên giao dịch, thành viên bù trừ, nhà đầu tư, tổ chức cung cấp dịch vụ liên quan (lưu ký, thanh toán, giám sát), cơ quan quản lý nhà nước và các tổ chức, cá nhân khác có liên quan. Quy định này nhằm bảo đảm sự rõ ràng về phạm vi điều chỉnh, tránh bỏ sót hoặc chồng chéo với các luật khác (Luật Chứng khoán, Luật Thương mại, Luật Ngân hàng).</w:t>
      </w:r>
    </w:p>
    <w:p w14:paraId="47CF1E6A" w14:textId="24D70DEF" w:rsidR="00251D93" w:rsidRPr="003124B4" w:rsidRDefault="00251D93" w:rsidP="00D464EE">
      <w:pPr>
        <w:spacing w:before="120" w:after="120" w:line="240" w:lineRule="auto"/>
        <w:ind w:firstLine="720"/>
        <w:jc w:val="both"/>
        <w:rPr>
          <w:rFonts w:ascii="Times New Roman" w:hAnsi="Times New Roman" w:cs="Times New Roman"/>
          <w:b/>
          <w:bCs/>
          <w:i/>
          <w:iCs/>
          <w:sz w:val="28"/>
          <w:szCs w:val="28"/>
        </w:rPr>
      </w:pPr>
      <w:r w:rsidRPr="003124B4">
        <w:rPr>
          <w:rFonts w:ascii="Times New Roman" w:hAnsi="Times New Roman" w:cs="Times New Roman"/>
          <w:b/>
          <w:bCs/>
          <w:i/>
          <w:iCs/>
          <w:sz w:val="28"/>
          <w:szCs w:val="28"/>
        </w:rPr>
        <w:t>1.2. Quy phạm hóa các khái niệm cơ bản về giao dịch hàng hóa phái sinh</w:t>
      </w:r>
    </w:p>
    <w:p w14:paraId="0C8D0D75" w14:textId="77777777" w:rsidR="00A4789F" w:rsidRDefault="003124B4" w:rsidP="00A4789F">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T</w:t>
      </w:r>
      <w:r w:rsidRPr="003124B4">
        <w:rPr>
          <w:rFonts w:ascii="Times New Roman" w:eastAsia="Times New Roman" w:hAnsi="Times New Roman" w:cs="Times New Roman"/>
          <w:kern w:val="0"/>
          <w:sz w:val="28"/>
          <w:szCs w:val="28"/>
          <w:lang w:val="en-GB" w:eastAsia="en-GB"/>
          <w14:ligatures w14:val="none"/>
        </w:rPr>
        <w:t xml:space="preserve">rong bối cảnh thị trường hàng hóa phái sinh có tính chất phức tạp, đa dạng về sản phẩm và phương thức giao dịch, việc quy phạm hóa các khái niệm cơ bản trong Luật có ý nghĩa quyết định nhằm tạo nền tảng pháp lý thống nhất, minh bạch và dễ áp dụng. </w:t>
      </w:r>
    </w:p>
    <w:p w14:paraId="1B4CA0B2" w14:textId="5B7F98A1" w:rsidR="003124B4" w:rsidRPr="003124B4" w:rsidRDefault="00A4789F"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Việc quy định các </w:t>
      </w:r>
      <w:r w:rsidRPr="00A4789F">
        <w:rPr>
          <w:rFonts w:ascii="Times New Roman" w:hAnsi="Times New Roman" w:cs="Times New Roman"/>
          <w:sz w:val="28"/>
          <w:szCs w:val="28"/>
        </w:rPr>
        <w:t>khái niệm cơ bản về giao dịch hàng hóa phái sinh</w:t>
      </w:r>
      <w:r>
        <w:rPr>
          <w:rFonts w:ascii="Times New Roman" w:hAnsi="Times New Roman" w:cs="Times New Roman"/>
          <w:sz w:val="28"/>
          <w:szCs w:val="28"/>
        </w:rPr>
        <w:t xml:space="preserve"> nhằm: (i) </w:t>
      </w:r>
      <w:r>
        <w:rPr>
          <w:rFonts w:ascii="Times New Roman" w:eastAsia="Times New Roman" w:hAnsi="Times New Roman" w:cs="Times New Roman"/>
          <w:kern w:val="0"/>
          <w:sz w:val="28"/>
          <w:szCs w:val="28"/>
          <w:lang w:val="en-GB" w:eastAsia="en-GB"/>
          <w14:ligatures w14:val="none"/>
        </w:rPr>
        <w:t>b</w:t>
      </w:r>
      <w:r w:rsidR="003124B4" w:rsidRPr="00A4789F">
        <w:rPr>
          <w:rFonts w:ascii="Times New Roman" w:eastAsia="Times New Roman" w:hAnsi="Times New Roman" w:cs="Times New Roman"/>
          <w:kern w:val="0"/>
          <w:sz w:val="28"/>
          <w:szCs w:val="28"/>
          <w:lang w:val="en-GB" w:eastAsia="en-GB"/>
          <w14:ligatures w14:val="none"/>
        </w:rPr>
        <w:t>ảo</w:t>
      </w:r>
      <w:r w:rsidR="003124B4" w:rsidRPr="003124B4">
        <w:rPr>
          <w:rFonts w:ascii="Times New Roman" w:eastAsia="Times New Roman" w:hAnsi="Times New Roman" w:cs="Times New Roman"/>
          <w:kern w:val="0"/>
          <w:sz w:val="28"/>
          <w:szCs w:val="28"/>
          <w:lang w:val="en-GB" w:eastAsia="en-GB"/>
          <w14:ligatures w14:val="none"/>
        </w:rPr>
        <w:t xml:space="preserve"> đảm sự thống nhất trong áp dụng pháp luật giữa các chủ thể tham gia, cơ quan quản lý và hệ thống tòa án/trọng tài</w:t>
      </w:r>
      <w:r>
        <w:rPr>
          <w:rFonts w:ascii="Times New Roman" w:eastAsia="Times New Roman" w:hAnsi="Times New Roman" w:cs="Times New Roman"/>
          <w:kern w:val="0"/>
          <w:sz w:val="28"/>
          <w:szCs w:val="28"/>
          <w:lang w:val="en-GB" w:eastAsia="en-GB"/>
          <w14:ligatures w14:val="none"/>
        </w:rPr>
        <w:t>; (ii) t</w:t>
      </w:r>
      <w:r w:rsidR="003124B4" w:rsidRPr="003124B4">
        <w:rPr>
          <w:rFonts w:ascii="Times New Roman" w:eastAsia="Times New Roman" w:hAnsi="Times New Roman" w:cs="Times New Roman"/>
          <w:kern w:val="0"/>
          <w:sz w:val="28"/>
          <w:szCs w:val="28"/>
          <w:lang w:val="en-GB" w:eastAsia="en-GB"/>
          <w14:ligatures w14:val="none"/>
        </w:rPr>
        <w:t>ạo sự tương thích với thông lệ quốc tế (IOSCO, CFTC – Hoa Kỳ, ESMA – Liên minh châu Âu), giúp Việt Nam hội nhập thị trường toàn cầu</w:t>
      </w:r>
      <w:r>
        <w:rPr>
          <w:rFonts w:ascii="Times New Roman" w:eastAsia="Times New Roman" w:hAnsi="Times New Roman" w:cs="Times New Roman"/>
          <w:kern w:val="0"/>
          <w:sz w:val="28"/>
          <w:szCs w:val="28"/>
          <w:lang w:val="en-GB" w:eastAsia="en-GB"/>
          <w14:ligatures w14:val="none"/>
        </w:rPr>
        <w:t>; (iii) đ</w:t>
      </w:r>
      <w:r w:rsidR="003124B4" w:rsidRPr="003124B4">
        <w:rPr>
          <w:rFonts w:ascii="Times New Roman" w:eastAsia="Times New Roman" w:hAnsi="Times New Roman" w:cs="Times New Roman"/>
          <w:kern w:val="0"/>
          <w:sz w:val="28"/>
          <w:szCs w:val="28"/>
          <w:lang w:val="en-GB" w:eastAsia="en-GB"/>
          <w14:ligatures w14:val="none"/>
        </w:rPr>
        <w:t>ặt nền tảng cho việc phát triển các quy định chi tiết dưới luật (Nghị định, Thông tư) mà không làm thay đổi bản chất pháp lý.</w:t>
      </w:r>
    </w:p>
    <w:p w14:paraId="65BD84DC" w14:textId="11E0D481"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Dự thảo Luật dự kiến quy định các</w:t>
      </w:r>
      <w:r w:rsidR="003124B4" w:rsidRPr="003124B4">
        <w:rPr>
          <w:rFonts w:ascii="Times New Roman" w:eastAsia="Times New Roman" w:hAnsi="Times New Roman" w:cs="Times New Roman"/>
          <w:kern w:val="0"/>
          <w:sz w:val="28"/>
          <w:szCs w:val="28"/>
          <w:lang w:val="en-GB" w:eastAsia="en-GB"/>
          <w14:ligatures w14:val="none"/>
        </w:rPr>
        <w:t xml:space="preserve"> khái niệm </w:t>
      </w:r>
      <w:r>
        <w:rPr>
          <w:rFonts w:ascii="Times New Roman" w:eastAsia="Times New Roman" w:hAnsi="Times New Roman" w:cs="Times New Roman"/>
          <w:kern w:val="0"/>
          <w:sz w:val="28"/>
          <w:szCs w:val="28"/>
          <w:lang w:val="en-GB" w:eastAsia="en-GB"/>
          <w14:ligatures w14:val="none"/>
        </w:rPr>
        <w:t>cơ bản sau</w:t>
      </w:r>
      <w:r w:rsidR="003124B4" w:rsidRPr="003124B4">
        <w:rPr>
          <w:rFonts w:ascii="Times New Roman" w:eastAsia="Times New Roman" w:hAnsi="Times New Roman" w:cs="Times New Roman"/>
          <w:kern w:val="0"/>
          <w:sz w:val="28"/>
          <w:szCs w:val="28"/>
          <w:lang w:val="en-GB" w:eastAsia="en-GB"/>
          <w14:ligatures w14:val="none"/>
        </w:rPr>
        <w:t>:</w:t>
      </w:r>
    </w:p>
    <w:p w14:paraId="329ECE9B" w14:textId="6B8F3967"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3124B4" w:rsidRPr="003124B4">
        <w:rPr>
          <w:rFonts w:ascii="Times New Roman" w:eastAsia="Times New Roman" w:hAnsi="Times New Roman" w:cs="Times New Roman"/>
          <w:kern w:val="0"/>
          <w:sz w:val="28"/>
          <w:szCs w:val="28"/>
          <w:lang w:val="en-GB" w:eastAsia="en-GB"/>
          <w14:ligatures w14:val="none"/>
        </w:rPr>
        <w:t>Hợp đồng phái sinh hàng hóa: bao gồm hợp đồng tương lai (futures), hợp đồng quyền chọn (options), hợp đồng hoán đổi (swaps) và các dạng chuẩn hóa khác.</w:t>
      </w:r>
    </w:p>
    <w:p w14:paraId="1168CC41" w14:textId="482F5BFA"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3124B4" w:rsidRPr="003124B4">
        <w:rPr>
          <w:rFonts w:ascii="Times New Roman" w:eastAsia="Times New Roman" w:hAnsi="Times New Roman" w:cs="Times New Roman"/>
          <w:kern w:val="0"/>
          <w:sz w:val="28"/>
          <w:szCs w:val="28"/>
          <w:lang w:val="en-GB" w:eastAsia="en-GB"/>
          <w14:ligatures w14:val="none"/>
        </w:rPr>
        <w:t>Sở Giao dịch hàng hóa phái sinh (</w:t>
      </w:r>
      <w:r w:rsidR="002E2352">
        <w:rPr>
          <w:rFonts w:ascii="Times New Roman" w:eastAsia="Times New Roman" w:hAnsi="Times New Roman" w:cs="Times New Roman"/>
          <w:kern w:val="0"/>
          <w:sz w:val="28"/>
          <w:szCs w:val="28"/>
          <w:lang w:val="en-GB" w:eastAsia="en-GB"/>
          <w14:ligatures w14:val="none"/>
        </w:rPr>
        <w:t>SỞ GDHHPS</w:t>
      </w:r>
      <w:r w:rsidR="003124B4" w:rsidRPr="003124B4">
        <w:rPr>
          <w:rFonts w:ascii="Times New Roman" w:eastAsia="Times New Roman" w:hAnsi="Times New Roman" w:cs="Times New Roman"/>
          <w:kern w:val="0"/>
          <w:sz w:val="28"/>
          <w:szCs w:val="28"/>
          <w:lang w:val="en-GB" w:eastAsia="en-GB"/>
          <w14:ligatures w14:val="none"/>
        </w:rPr>
        <w:t>) và Sàn giao dịch chuyên biệt: quy định rõ phạm vi hoạt động, thẩm quyền tổ chức giao dịch, trách nhiệm công bố thông tin.</w:t>
      </w:r>
    </w:p>
    <w:p w14:paraId="7C709913" w14:textId="17563EE7"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3124B4" w:rsidRPr="003124B4">
        <w:rPr>
          <w:rFonts w:ascii="Times New Roman" w:eastAsia="Times New Roman" w:hAnsi="Times New Roman" w:cs="Times New Roman"/>
          <w:kern w:val="0"/>
          <w:sz w:val="28"/>
          <w:szCs w:val="28"/>
          <w:lang w:val="en-GB" w:eastAsia="en-GB"/>
          <w14:ligatures w14:val="none"/>
        </w:rPr>
        <w:t>Thành viên giao dịch, thành viên bù trừ: xác định quyền, nghĩa vụ, điều kiện tham gia thị trường.</w:t>
      </w:r>
    </w:p>
    <w:p w14:paraId="06AD6857" w14:textId="43617D42"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3124B4" w:rsidRPr="003124B4">
        <w:rPr>
          <w:rFonts w:ascii="Times New Roman" w:eastAsia="Times New Roman" w:hAnsi="Times New Roman" w:cs="Times New Roman"/>
          <w:kern w:val="0"/>
          <w:sz w:val="28"/>
          <w:szCs w:val="28"/>
          <w:lang w:val="en-GB" w:eastAsia="en-GB"/>
          <w14:ligatures w14:val="none"/>
        </w:rPr>
        <w:t>Nhà đầu tư: phân loại thành nhà đầu tư chuyên nghiệp và không chuyên nghiệp, trong nước và nước ngoài.</w:t>
      </w:r>
    </w:p>
    <w:p w14:paraId="45887D97" w14:textId="760634F5"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lastRenderedPageBreak/>
        <w:t xml:space="preserve">- </w:t>
      </w:r>
      <w:r w:rsidR="003124B4" w:rsidRPr="003124B4">
        <w:rPr>
          <w:rFonts w:ascii="Times New Roman" w:eastAsia="Times New Roman" w:hAnsi="Times New Roman" w:cs="Times New Roman"/>
          <w:kern w:val="0"/>
          <w:sz w:val="28"/>
          <w:szCs w:val="28"/>
          <w:lang w:val="en-GB" w:eastAsia="en-GB"/>
          <w14:ligatures w14:val="none"/>
        </w:rPr>
        <w:t>Ký quỹ, quỹ bù trừ, thanh toán bù trừ: khái niệm nền tảng để vận hành cơ chế bảo đảm an toàn tài chính và quản lý rủi ro.</w:t>
      </w:r>
    </w:p>
    <w:p w14:paraId="586F2E4B" w14:textId="149D6ED8" w:rsidR="003124B4" w:rsidRPr="003124B4" w:rsidRDefault="009C6C9C"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3124B4" w:rsidRPr="003124B4">
        <w:rPr>
          <w:rFonts w:ascii="Times New Roman" w:eastAsia="Times New Roman" w:hAnsi="Times New Roman" w:cs="Times New Roman"/>
          <w:kern w:val="0"/>
          <w:sz w:val="28"/>
          <w:szCs w:val="28"/>
          <w:lang w:val="en-GB" w:eastAsia="en-GB"/>
          <w14:ligatures w14:val="none"/>
        </w:rPr>
        <w:t>Vị thế mở, giới hạn vị thế: công cụ quản lý rủi ro và phòng chống thao túng thị trường.</w:t>
      </w:r>
    </w:p>
    <w:p w14:paraId="3C4FE8BC" w14:textId="77777777" w:rsidR="003124B4" w:rsidRPr="003124B4" w:rsidRDefault="003124B4"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3124B4">
        <w:rPr>
          <w:rFonts w:ascii="Times New Roman" w:eastAsia="Times New Roman" w:hAnsi="Times New Roman" w:cs="Times New Roman"/>
          <w:kern w:val="0"/>
          <w:sz w:val="28"/>
          <w:szCs w:val="28"/>
          <w:lang w:val="en-GB" w:eastAsia="en-GB"/>
          <w14:ligatures w14:val="none"/>
        </w:rPr>
        <w:t>Các khái niệm được quy định ở cấp Luật, theo hướng mô tả bản chất pháp lý và chức năng cơ bản, tránh đi quá sâu vào kỹ thuật để bảo đảm tính ổn định.</w:t>
      </w:r>
    </w:p>
    <w:p w14:paraId="60A046F1" w14:textId="77777777" w:rsidR="003124B4" w:rsidRPr="003124B4" w:rsidRDefault="003124B4" w:rsidP="003124B4">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3124B4">
        <w:rPr>
          <w:rFonts w:ascii="Times New Roman" w:eastAsia="Times New Roman" w:hAnsi="Times New Roman" w:cs="Times New Roman"/>
          <w:kern w:val="0"/>
          <w:sz w:val="28"/>
          <w:szCs w:val="28"/>
          <w:lang w:val="en-GB" w:eastAsia="en-GB"/>
          <w14:ligatures w14:val="none"/>
        </w:rPr>
        <w:t>Chính phủ và cơ quan quản lý chuyên ngành được giao thẩm quyền chi tiết hóa và cập nhật, nhằm kịp thời bổ sung khái niệm mới phát sinh trong quá trình phát triển thị trường (ví dụ: hợp đồng carbon credits phái sinh, sản phẩm phái sinh dựa trên năng lượng tái tạo).</w:t>
      </w:r>
    </w:p>
    <w:p w14:paraId="6FCE9F59" w14:textId="2B4179A2" w:rsidR="00251D93" w:rsidRPr="00EE2652" w:rsidRDefault="00251D93" w:rsidP="00D464EE">
      <w:pPr>
        <w:spacing w:before="120" w:after="120" w:line="240" w:lineRule="auto"/>
        <w:ind w:firstLine="720"/>
        <w:jc w:val="both"/>
        <w:rPr>
          <w:rFonts w:ascii="Times New Roman" w:hAnsi="Times New Roman" w:cs="Times New Roman"/>
          <w:b/>
          <w:bCs/>
          <w:i/>
          <w:iCs/>
          <w:sz w:val="28"/>
          <w:szCs w:val="28"/>
        </w:rPr>
      </w:pPr>
      <w:r w:rsidRPr="00EE2652">
        <w:rPr>
          <w:rFonts w:ascii="Times New Roman" w:hAnsi="Times New Roman" w:cs="Times New Roman"/>
          <w:b/>
          <w:bCs/>
          <w:i/>
          <w:iCs/>
          <w:sz w:val="28"/>
          <w:szCs w:val="28"/>
        </w:rPr>
        <w:t>1.3. Quy định nguyên tắc pháp lý điều chỉnh hoạt động</w:t>
      </w:r>
      <w:r w:rsidR="00EE2652" w:rsidRPr="00EE2652">
        <w:rPr>
          <w:rFonts w:ascii="Times New Roman" w:hAnsi="Times New Roman" w:cs="Times New Roman"/>
          <w:b/>
          <w:bCs/>
          <w:i/>
          <w:iCs/>
          <w:sz w:val="28"/>
          <w:szCs w:val="28"/>
        </w:rPr>
        <w:t xml:space="preserve"> giao dịch hàng hóa phái sinh</w:t>
      </w:r>
    </w:p>
    <w:p w14:paraId="08FDF04A" w14:textId="77777777" w:rsidR="0064104A" w:rsidRDefault="00EE2652" w:rsidP="00D464EE">
      <w:pPr>
        <w:spacing w:before="120" w:after="120" w:line="240" w:lineRule="auto"/>
        <w:ind w:firstLine="720"/>
        <w:jc w:val="both"/>
        <w:rPr>
          <w:rFonts w:ascii="Times New Roman" w:hAnsi="Times New Roman" w:cs="Times New Roman"/>
          <w:sz w:val="28"/>
          <w:szCs w:val="28"/>
        </w:rPr>
      </w:pPr>
      <w:r w:rsidRPr="00EE2652">
        <w:rPr>
          <w:rFonts w:ascii="Times New Roman" w:hAnsi="Times New Roman" w:cs="Times New Roman"/>
          <w:sz w:val="28"/>
          <w:szCs w:val="28"/>
        </w:rPr>
        <w:t>Luật đặt ra khung các nguyên tắc cơ bản làm nền tảng cho hoạt động giao dịch hàng hóa phái sinh: trung thực, công khai, minh bạch, công bằng, cạnh tranh lành mạnh; bảo đảm an toàn tài chính và quản trị rủi ro; tách bạch tài sản của khách hàng với tài sản của thành viên; bảo vệ quyền và lợi ích hợp pháp của nhà đầu tư. Đây là những nguyên tắc mang tính định hướng, thể hiện chính sách quản lý thị trường theo hướng an toàn, minh bạch, bền vững.</w:t>
      </w:r>
    </w:p>
    <w:p w14:paraId="7E001BAD" w14:textId="572030D3" w:rsidR="00EE2652" w:rsidRPr="00EE2652" w:rsidRDefault="00EE2652" w:rsidP="00D464EE">
      <w:pPr>
        <w:spacing w:before="120" w:after="120" w:line="240" w:lineRule="auto"/>
        <w:ind w:firstLine="720"/>
        <w:jc w:val="both"/>
        <w:rPr>
          <w:rFonts w:ascii="Times New Roman" w:hAnsi="Times New Roman" w:cs="Times New Roman"/>
          <w:sz w:val="28"/>
          <w:szCs w:val="28"/>
        </w:rPr>
      </w:pPr>
      <w:r w:rsidRPr="00EE2652">
        <w:rPr>
          <w:rFonts w:ascii="Times New Roman" w:hAnsi="Times New Roman" w:cs="Times New Roman"/>
          <w:sz w:val="28"/>
          <w:szCs w:val="28"/>
        </w:rPr>
        <w:t>Các cơ chế kỹ thuật cụ thể về quản lý rủi ro, tách bạch tài sản và bảo vệ nhà đầu tư sẽ được Chính phủ và cơ quan quản lý chuyên ngành quy định chi tiết bằng văn bản dưới luật, bảo đảm tính linh hoạt và phù hợp thực tiễn.</w:t>
      </w:r>
    </w:p>
    <w:p w14:paraId="64C4072D" w14:textId="0B692CC4" w:rsidR="00251D93" w:rsidRDefault="00251D93" w:rsidP="00D464EE">
      <w:pPr>
        <w:spacing w:before="120" w:after="120" w:line="240" w:lineRule="auto"/>
        <w:ind w:firstLine="720"/>
        <w:jc w:val="both"/>
        <w:rPr>
          <w:rFonts w:ascii="Times New Roman" w:hAnsi="Times New Roman" w:cs="Times New Roman"/>
          <w:b/>
          <w:bCs/>
          <w:i/>
          <w:iCs/>
          <w:sz w:val="28"/>
          <w:szCs w:val="28"/>
        </w:rPr>
      </w:pPr>
      <w:r w:rsidRPr="003124B4">
        <w:rPr>
          <w:rFonts w:ascii="Times New Roman" w:hAnsi="Times New Roman" w:cs="Times New Roman"/>
          <w:b/>
          <w:bCs/>
          <w:i/>
          <w:iCs/>
          <w:sz w:val="28"/>
          <w:szCs w:val="28"/>
        </w:rPr>
        <w:t>1.4. Quy định định hướng chính sách phát triển thị trường</w:t>
      </w:r>
    </w:p>
    <w:p w14:paraId="78B8AA90" w14:textId="77777777" w:rsidR="00473A89" w:rsidRDefault="0064104A" w:rsidP="00D464EE">
      <w:pPr>
        <w:spacing w:before="120" w:after="120" w:line="240" w:lineRule="auto"/>
        <w:ind w:firstLine="720"/>
        <w:jc w:val="both"/>
        <w:rPr>
          <w:rFonts w:ascii="Times New Roman" w:hAnsi="Times New Roman" w:cs="Times New Roman"/>
          <w:sz w:val="28"/>
          <w:szCs w:val="28"/>
        </w:rPr>
      </w:pPr>
      <w:r w:rsidRPr="0064104A">
        <w:rPr>
          <w:rFonts w:ascii="Times New Roman" w:hAnsi="Times New Roman" w:cs="Times New Roman"/>
          <w:sz w:val="28"/>
          <w:szCs w:val="28"/>
        </w:rPr>
        <w:t>Luật sẽ xác định định hướng phát triển thị trường hàng hóa phái sinh của Nhà nước theo hướng an toàn, bền vững, hội nhập quốc tế. Nội dung bao gồm: khuyến khích sự tham gia của các tổ chức trong và ngoài nước; ưu tiên phát triển hạ tầng công nghệ và hệ thống thanh toán bù trừ hiện đại; hỗ trợ đào tạo nhân lực, nâng cao nhận thức cộng đồng; đa dạng hóa sản phẩm phái sinh gắn với nhu cầu phòng ngừa rủi ro của doanh nghiệp.</w:t>
      </w:r>
    </w:p>
    <w:p w14:paraId="5CE7217C" w14:textId="0E9EAF53" w:rsidR="0064104A" w:rsidRPr="003A021C" w:rsidRDefault="0064104A" w:rsidP="00D464EE">
      <w:pPr>
        <w:spacing w:before="120" w:after="120" w:line="240" w:lineRule="auto"/>
        <w:ind w:firstLine="720"/>
        <w:jc w:val="both"/>
        <w:rPr>
          <w:rFonts w:ascii="Times New Roman" w:hAnsi="Times New Roman" w:cs="Times New Roman"/>
          <w:b/>
          <w:bCs/>
          <w:i/>
          <w:iCs/>
          <w:sz w:val="28"/>
          <w:szCs w:val="28"/>
        </w:rPr>
      </w:pPr>
      <w:r w:rsidRPr="003A021C">
        <w:rPr>
          <w:rFonts w:ascii="Times New Roman" w:hAnsi="Times New Roman" w:cs="Times New Roman"/>
          <w:sz w:val="28"/>
          <w:szCs w:val="28"/>
        </w:rPr>
        <w:t>Các chính sách ưu đãi về thuế, công nghệ, đào tạo sẽ được giao Chính phủ quy định chi tiết, bảo đảm tính linh hoạt trong điều hành.</w:t>
      </w:r>
    </w:p>
    <w:p w14:paraId="6AB39BB6" w14:textId="0A8735F7" w:rsidR="001945E4" w:rsidRPr="003A021C" w:rsidRDefault="00251D93" w:rsidP="00D464EE">
      <w:pPr>
        <w:spacing w:before="120" w:after="120" w:line="240" w:lineRule="auto"/>
        <w:ind w:firstLine="720"/>
        <w:jc w:val="both"/>
        <w:rPr>
          <w:rFonts w:ascii="Times New Roman" w:hAnsi="Times New Roman" w:cs="Times New Roman"/>
          <w:b/>
          <w:bCs/>
          <w:i/>
          <w:iCs/>
          <w:sz w:val="28"/>
          <w:szCs w:val="28"/>
        </w:rPr>
      </w:pPr>
      <w:r w:rsidRPr="003A021C">
        <w:rPr>
          <w:rFonts w:ascii="Times New Roman" w:hAnsi="Times New Roman" w:cs="Times New Roman"/>
          <w:b/>
          <w:bCs/>
          <w:i/>
          <w:iCs/>
          <w:sz w:val="28"/>
          <w:szCs w:val="28"/>
        </w:rPr>
        <w:t>1.5. Quy định khung các hành vi bị nghiêm cấm trong hoạt động giao dịch hàng hóa phái sinh</w:t>
      </w:r>
    </w:p>
    <w:p w14:paraId="29941231" w14:textId="77777777" w:rsidR="00473A89" w:rsidRPr="003A021C" w:rsidRDefault="00473A89"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3A021C">
        <w:rPr>
          <w:rFonts w:ascii="Times New Roman" w:eastAsia="Times New Roman" w:hAnsi="Times New Roman" w:cs="Times New Roman"/>
          <w:kern w:val="0"/>
          <w:sz w:val="28"/>
          <w:szCs w:val="28"/>
          <w:lang w:val="en-GB" w:eastAsia="en-GB"/>
          <w14:ligatures w14:val="none"/>
        </w:rPr>
        <w:t>Hoạt động giao dịch hàng hóa phái sinh có độ phức tạp cao, gắn liền với cơ chế ký quỹ, bù trừ và đòn bẩy tài chính, nên tiềm ẩn nhiều rủi ro gian lận, thao túng, lạm dụng. Nếu không có quy định khung về các hành vi bị nghiêm cấm, thị trường dễ bị lợi dụng để trục lợi, gây thiệt hại cho nhà đầu tư, ảnh hưởng đến sự ổn định hệ thống và niềm tin thị trường.</w:t>
      </w:r>
    </w:p>
    <w:p w14:paraId="517080BD" w14:textId="21EE8111" w:rsidR="00473A89" w:rsidRPr="003A021C" w:rsidRDefault="00473A89" w:rsidP="003A021C">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3A021C">
        <w:rPr>
          <w:rFonts w:ascii="Times New Roman" w:eastAsia="Times New Roman" w:hAnsi="Times New Roman" w:cs="Times New Roman"/>
          <w:kern w:val="0"/>
          <w:sz w:val="28"/>
          <w:szCs w:val="28"/>
          <w:lang w:val="en-GB" w:eastAsia="en-GB"/>
          <w14:ligatures w14:val="none"/>
        </w:rPr>
        <w:t>Thứ hai, về nội dung các hành vi bị nghiêm cấm</w:t>
      </w:r>
      <w:r w:rsidR="003A021C">
        <w:rPr>
          <w:rFonts w:ascii="Times New Roman" w:eastAsia="Times New Roman" w:hAnsi="Times New Roman" w:cs="Times New Roman"/>
          <w:kern w:val="0"/>
          <w:sz w:val="28"/>
          <w:szCs w:val="28"/>
          <w:lang w:val="en-GB" w:eastAsia="en-GB"/>
          <w14:ligatures w14:val="none"/>
        </w:rPr>
        <w:t xml:space="preserve">, dự thảo Luật quy định </w:t>
      </w:r>
      <w:r w:rsidRPr="003A021C">
        <w:rPr>
          <w:rFonts w:ascii="Times New Roman" w:eastAsia="Times New Roman" w:hAnsi="Times New Roman" w:cs="Times New Roman"/>
          <w:kern w:val="0"/>
          <w:sz w:val="28"/>
          <w:szCs w:val="28"/>
          <w:lang w:val="en-GB" w:eastAsia="en-GB"/>
          <w14:ligatures w14:val="none"/>
        </w:rPr>
        <w:t>một số hành vi điển hình sau:</w:t>
      </w:r>
    </w:p>
    <w:p w14:paraId="6407AA40" w14:textId="2FD1FB7F" w:rsidR="00473A89" w:rsidRPr="003A021C" w:rsidRDefault="00D429A2"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lastRenderedPageBreak/>
        <w:t xml:space="preserve">- </w:t>
      </w:r>
      <w:r w:rsidR="00473A89" w:rsidRPr="003A021C">
        <w:rPr>
          <w:rFonts w:ascii="Times New Roman" w:eastAsia="Times New Roman" w:hAnsi="Times New Roman" w:cs="Times New Roman"/>
          <w:kern w:val="0"/>
          <w:sz w:val="28"/>
          <w:szCs w:val="28"/>
          <w:lang w:val="en-GB" w:eastAsia="en-GB"/>
          <w14:ligatures w14:val="none"/>
        </w:rPr>
        <w:t>Thao túng thị trường: thông qua giao dịch giả tạo, tạo cung cầu ảo, thao túng giá để hưởng lợi bất chính.</w:t>
      </w:r>
    </w:p>
    <w:p w14:paraId="151B400E" w14:textId="054C3BAC" w:rsidR="00473A89" w:rsidRPr="003A021C" w:rsidRDefault="00D429A2"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473A89" w:rsidRPr="003A021C">
        <w:rPr>
          <w:rFonts w:ascii="Times New Roman" w:eastAsia="Times New Roman" w:hAnsi="Times New Roman" w:cs="Times New Roman"/>
          <w:kern w:val="0"/>
          <w:sz w:val="28"/>
          <w:szCs w:val="28"/>
          <w:lang w:val="en-GB" w:eastAsia="en-GB"/>
          <w14:ligatures w14:val="none"/>
        </w:rPr>
        <w:t>Giao dịch nội gián: sử dụng thông tin nội bộ chưa công khai để mua bán, mang lại lợi ích không công bằng.</w:t>
      </w:r>
    </w:p>
    <w:p w14:paraId="517514A7" w14:textId="24BBA955" w:rsidR="00473A89" w:rsidRPr="003A021C" w:rsidRDefault="00D429A2"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473A89" w:rsidRPr="003A021C">
        <w:rPr>
          <w:rFonts w:ascii="Times New Roman" w:eastAsia="Times New Roman" w:hAnsi="Times New Roman" w:cs="Times New Roman"/>
          <w:kern w:val="0"/>
          <w:sz w:val="28"/>
          <w:szCs w:val="28"/>
          <w:lang w:val="en-GB" w:eastAsia="en-GB"/>
          <w14:ligatures w14:val="none"/>
        </w:rPr>
        <w:t>Cung cấp thông tin sai lệch hoặc giả mạo hồ sơ: che giấu, xuyên tạc sự thật khi đăng ký giao dịch, cấp phép, công bố thông tin.</w:t>
      </w:r>
    </w:p>
    <w:p w14:paraId="13A63405" w14:textId="378A2DE6" w:rsidR="00473A89" w:rsidRPr="003A021C" w:rsidRDefault="00D429A2"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473A89" w:rsidRPr="003A021C">
        <w:rPr>
          <w:rFonts w:ascii="Times New Roman" w:eastAsia="Times New Roman" w:hAnsi="Times New Roman" w:cs="Times New Roman"/>
          <w:kern w:val="0"/>
          <w:sz w:val="28"/>
          <w:szCs w:val="28"/>
          <w:lang w:val="en-GB" w:eastAsia="en-GB"/>
          <w14:ligatures w14:val="none"/>
        </w:rPr>
        <w:t>Lạm dụng tín nhiệm, chiếm dụng tài sản của khách hàng: sử dụng tiền ký quỹ hoặc tài sản của khách hàng cho mục đích riêng, gây rủi ro mất an toàn hệ thống.</w:t>
      </w:r>
    </w:p>
    <w:p w14:paraId="6A266620" w14:textId="3278FCD5" w:rsidR="00473A89" w:rsidRPr="003A021C" w:rsidRDefault="00D429A2"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473A89" w:rsidRPr="003A021C">
        <w:rPr>
          <w:rFonts w:ascii="Times New Roman" w:eastAsia="Times New Roman" w:hAnsi="Times New Roman" w:cs="Times New Roman"/>
          <w:kern w:val="0"/>
          <w:sz w:val="28"/>
          <w:szCs w:val="28"/>
          <w:lang w:val="en-GB" w:eastAsia="en-GB"/>
          <w14:ligatures w14:val="none"/>
        </w:rPr>
        <w:t>Giao dịch vượt giới hạn, vi phạm quy định về ký quỹ, bù trừ: mở vị thế vượt ngưỡng cho phép, không tuân thủ nghĩa vụ ký quỹ hoặc thanh toán bù trừ.</w:t>
      </w:r>
    </w:p>
    <w:p w14:paraId="5E28D04F" w14:textId="12F1CD70" w:rsidR="00473A89" w:rsidRPr="003A021C" w:rsidRDefault="00D429A2" w:rsidP="00473A8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 </w:t>
      </w:r>
      <w:r w:rsidR="00473A89" w:rsidRPr="003A021C">
        <w:rPr>
          <w:rFonts w:ascii="Times New Roman" w:eastAsia="Times New Roman" w:hAnsi="Times New Roman" w:cs="Times New Roman"/>
          <w:kern w:val="0"/>
          <w:sz w:val="28"/>
          <w:szCs w:val="28"/>
          <w:lang w:val="en-GB" w:eastAsia="en-GB"/>
          <w14:ligatures w14:val="none"/>
        </w:rPr>
        <w:t>Các hành vi gian lận, lợi dụng khác: ví dụ rửa tiền, tài trợ khủng bố thông qua giao dịch phái sinh.</w:t>
      </w:r>
    </w:p>
    <w:p w14:paraId="002E03F9" w14:textId="26F22B01" w:rsidR="00473A89" w:rsidRDefault="00473A89" w:rsidP="00D429A2">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3A021C">
        <w:rPr>
          <w:rFonts w:ascii="Times New Roman" w:eastAsia="Times New Roman" w:hAnsi="Times New Roman" w:cs="Times New Roman"/>
          <w:kern w:val="0"/>
          <w:sz w:val="28"/>
          <w:szCs w:val="28"/>
          <w:lang w:val="en-GB" w:eastAsia="en-GB"/>
          <w14:ligatures w14:val="none"/>
        </w:rPr>
        <w:t>Các hành vi bị cấm sẽ được quy định trực tiếp trong Luật với tính chất khái quát, xác lập chuẩn mực pháp lý nền tảng.</w:t>
      </w:r>
      <w:r w:rsidR="00D429A2">
        <w:rPr>
          <w:rFonts w:ascii="Times New Roman" w:eastAsia="Times New Roman" w:hAnsi="Times New Roman" w:cs="Times New Roman"/>
          <w:kern w:val="0"/>
          <w:sz w:val="28"/>
          <w:szCs w:val="28"/>
          <w:lang w:val="en-GB" w:eastAsia="en-GB"/>
          <w14:ligatures w14:val="none"/>
        </w:rPr>
        <w:t xml:space="preserve"> </w:t>
      </w:r>
      <w:r w:rsidRPr="003A021C">
        <w:rPr>
          <w:rFonts w:ascii="Times New Roman" w:eastAsia="Times New Roman" w:hAnsi="Times New Roman" w:cs="Times New Roman"/>
          <w:kern w:val="0"/>
          <w:sz w:val="28"/>
          <w:szCs w:val="28"/>
          <w:lang w:val="en-GB" w:eastAsia="en-GB"/>
          <w14:ligatures w14:val="none"/>
        </w:rPr>
        <w:t>Chính phủ sẽ quy định chi tiết</w:t>
      </w:r>
      <w:r w:rsidR="00D429A2">
        <w:rPr>
          <w:rFonts w:ascii="Times New Roman" w:eastAsia="Times New Roman" w:hAnsi="Times New Roman" w:cs="Times New Roman"/>
          <w:kern w:val="0"/>
          <w:sz w:val="28"/>
          <w:szCs w:val="28"/>
          <w:lang w:val="en-GB" w:eastAsia="en-GB"/>
          <w14:ligatures w14:val="none"/>
        </w:rPr>
        <w:t xml:space="preserve"> các hành vi bị nghiêm cấm trong hoạt động giao dịch hàng hóa phái sin</w:t>
      </w:r>
      <w:r w:rsidR="00375662">
        <w:rPr>
          <w:rFonts w:ascii="Times New Roman" w:eastAsia="Times New Roman" w:hAnsi="Times New Roman" w:cs="Times New Roman"/>
          <w:kern w:val="0"/>
          <w:sz w:val="28"/>
          <w:szCs w:val="28"/>
          <w:lang w:val="en-GB" w:eastAsia="en-GB"/>
          <w14:ligatures w14:val="none"/>
        </w:rPr>
        <w:t>h về d</w:t>
      </w:r>
      <w:r w:rsidR="00375662" w:rsidRPr="00375662">
        <w:rPr>
          <w:rFonts w:ascii="Times New Roman" w:eastAsia="Times New Roman" w:hAnsi="Times New Roman" w:cs="Times New Roman"/>
          <w:kern w:val="0"/>
          <w:sz w:val="28"/>
          <w:szCs w:val="28"/>
          <w:lang w:val="en-GB" w:eastAsia="en-GB"/>
          <w14:ligatures w14:val="none"/>
        </w:rPr>
        <w:t>ấu hiệu nhận diện hành vi vi phạm, hình thức xử phạt và biện pháp khắc phục</w:t>
      </w:r>
      <w:r w:rsidR="00375662">
        <w:rPr>
          <w:rFonts w:ascii="Times New Roman" w:eastAsia="Times New Roman" w:hAnsi="Times New Roman" w:cs="Times New Roman"/>
          <w:kern w:val="0"/>
          <w:sz w:val="28"/>
          <w:szCs w:val="28"/>
          <w:lang w:val="en-GB" w:eastAsia="en-GB"/>
          <w14:ligatures w14:val="none"/>
        </w:rPr>
        <w:t>,</w:t>
      </w:r>
      <w:r w:rsidR="00375662" w:rsidRPr="00375662">
        <w:rPr>
          <w:rFonts w:ascii="Times New Roman" w:eastAsia="Times New Roman" w:hAnsi="Times New Roman" w:cs="Times New Roman"/>
          <w:kern w:val="0"/>
          <w:sz w:val="28"/>
          <w:szCs w:val="28"/>
          <w:lang w:val="en-GB" w:eastAsia="en-GB"/>
          <w14:ligatures w14:val="none"/>
        </w:rPr>
        <w:t xml:space="preserve"> bảo đảm tính khả thi, minh bạch và phù hợp thực tiễn.</w:t>
      </w:r>
    </w:p>
    <w:p w14:paraId="273929FB" w14:textId="4E4F9214" w:rsidR="004A574B" w:rsidRPr="004A574B" w:rsidRDefault="004A574B" w:rsidP="004A574B">
      <w:pPr>
        <w:spacing w:before="120" w:after="120" w:line="240" w:lineRule="auto"/>
        <w:ind w:firstLine="720"/>
        <w:jc w:val="both"/>
        <w:rPr>
          <w:rFonts w:ascii="Times New Roman" w:eastAsia="Times New Roman" w:hAnsi="Times New Roman" w:cs="Times New Roman"/>
          <w:b/>
          <w:bCs/>
          <w:kern w:val="0"/>
          <w:sz w:val="28"/>
          <w:szCs w:val="28"/>
          <w:lang w:val="en-GB" w:eastAsia="en-GB"/>
          <w14:ligatures w14:val="none"/>
        </w:rPr>
      </w:pPr>
      <w:r>
        <w:rPr>
          <w:rFonts w:ascii="Times New Roman" w:eastAsia="Times New Roman" w:hAnsi="Times New Roman" w:cs="Times New Roman"/>
          <w:b/>
          <w:bCs/>
          <w:kern w:val="0"/>
          <w:sz w:val="28"/>
          <w:szCs w:val="28"/>
          <w:lang w:val="en-GB" w:eastAsia="en-GB"/>
          <w14:ligatures w14:val="none"/>
        </w:rPr>
        <w:t xml:space="preserve">2. </w:t>
      </w:r>
      <w:r w:rsidRPr="004A574B">
        <w:rPr>
          <w:rFonts w:ascii="Times New Roman" w:eastAsia="Times New Roman" w:hAnsi="Times New Roman" w:cs="Times New Roman"/>
          <w:b/>
          <w:bCs/>
          <w:kern w:val="0"/>
          <w:sz w:val="28"/>
          <w:szCs w:val="28"/>
          <w:lang w:val="en-GB" w:eastAsia="en-GB"/>
          <w14:ligatures w14:val="none"/>
        </w:rPr>
        <w:t>Chính sách 2: Quy định về quản lý nhà nước, cơ quan quản lý chuyên ngành và tổ chức xã hội – nghề nghiệp</w:t>
      </w:r>
    </w:p>
    <w:p w14:paraId="73EEA399" w14:textId="6FC5CC01" w:rsidR="00E337B9" w:rsidRPr="00E337B9" w:rsidRDefault="004A574B" w:rsidP="004A574B">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E337B9">
        <w:rPr>
          <w:rFonts w:ascii="Times New Roman" w:eastAsia="Times New Roman" w:hAnsi="Times New Roman" w:cs="Times New Roman"/>
          <w:b/>
          <w:bCs/>
          <w:i/>
          <w:iCs/>
          <w:kern w:val="0"/>
          <w:sz w:val="28"/>
          <w:szCs w:val="28"/>
          <w:lang w:val="en-GB" w:eastAsia="en-GB"/>
          <w14:ligatures w14:val="none"/>
        </w:rPr>
        <w:t xml:space="preserve">2.1. Xác định cơ quan chủ trì </w:t>
      </w:r>
      <w:r w:rsidR="00E337B9" w:rsidRPr="00E337B9">
        <w:rPr>
          <w:rFonts w:ascii="Times New Roman" w:eastAsia="Times New Roman" w:hAnsi="Times New Roman" w:cs="Times New Roman"/>
          <w:b/>
          <w:bCs/>
          <w:i/>
          <w:iCs/>
          <w:kern w:val="0"/>
          <w:sz w:val="28"/>
          <w:szCs w:val="28"/>
          <w:lang w:val="en-GB" w:eastAsia="en-GB"/>
          <w14:ligatures w14:val="none"/>
        </w:rPr>
        <w:t>thực hiện chức năng quản lý nhà nước trong lĩnh vực giao dịch hàng hóa phái sinh</w:t>
      </w:r>
    </w:p>
    <w:p w14:paraId="367F83BE" w14:textId="447EE966" w:rsidR="004A574B" w:rsidRPr="004A574B" w:rsidRDefault="00BF471E" w:rsidP="004A574B">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BF471E">
        <w:rPr>
          <w:rFonts w:ascii="Times New Roman" w:hAnsi="Times New Roman" w:cs="Times New Roman"/>
          <w:sz w:val="28"/>
          <w:szCs w:val="28"/>
        </w:rPr>
        <w:t>Việc xác định cơ quan chủ trì thực hiện chức năng quản lý nhà nước trong lĩnh vực giao dịch hàng hóa phái sinh là yêu cầu then chốt nhằm bảo đảm thị trường vận hành an toàn, minh bạch và phù hợp với thông lệ quốc tế. Dự thảo Luật quy định việc thành lập Ủy ban Giao dịch hàng hóa phái sinh, một cơ quan chuyên trách tương đối độc lập, có thể trực thuộc Chính phủ hoặc đặt dưới sự quản lý trực tiếp của Bộ Công Thương. Ủy ban này được giao trọng trách giám sát, quản lý vận hành thị trường, đồng thời làm đầu mối tổ chức thực thi pháp luật, giám sát Sở giao dịch, tổ chức bù trừ trung tâm, trung tâm lưu ký và các thành viên tham gia thị trường. Cơ chế quản lý theo hướng chuyên trách không chỉ bảo đảm tính khách quan, hạn chế xung đột lợi ích mà còn giúp phân định rõ thẩm quyền giữa cơ quan quản lý nhà nước và các chủ thể tham gia thị trường, tránh tình trạng chồng chéo hoặc buông lỏng giám sát. Việc thành lập một cơ quan chuyên sâu còn có ý nghĩa nâng cao hiệu quả quản lý, tạo điều kiện tập trung nguồn lực về nhân sự, công nghệ và nghiệp vụ giám sát, đồng thời tạo niềm tin cho nhà đầu tư trong và ngoài nước về sự chuyên nghiệp và minh bạch của thị trường hàng hóa phái sinh tại Việt Nam. Đây cũng là bước đi phù hợp với kinh nghiệm quốc tế, khi hầu hết các quốc gia có thị trường phái sinh phát triển đều duy trì cơ quan giám sát chuyên biệt, gắn với trách nhiệm giải trình rõ ràng và cơ chế phối hợp liên ngành chặt chẽ.</w:t>
      </w:r>
    </w:p>
    <w:p w14:paraId="54EDD003" w14:textId="7EB2F0A8" w:rsidR="004A574B" w:rsidRPr="004A574B" w:rsidRDefault="004A574B" w:rsidP="004A574B">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4A574B">
        <w:rPr>
          <w:rFonts w:ascii="Times New Roman" w:eastAsia="Times New Roman" w:hAnsi="Times New Roman" w:cs="Times New Roman"/>
          <w:kern w:val="0"/>
          <w:sz w:val="28"/>
          <w:szCs w:val="28"/>
          <w:lang w:val="en-GB" w:eastAsia="en-GB"/>
          <w14:ligatures w14:val="none"/>
        </w:rPr>
        <w:lastRenderedPageBreak/>
        <w:t xml:space="preserve">Ủy ban sẽ được giao quyền giám sát </w:t>
      </w:r>
      <w:r w:rsidR="002E2352">
        <w:rPr>
          <w:rFonts w:ascii="Times New Roman" w:eastAsia="Times New Roman" w:hAnsi="Times New Roman" w:cs="Times New Roman"/>
          <w:kern w:val="0"/>
          <w:sz w:val="28"/>
          <w:szCs w:val="28"/>
          <w:lang w:val="en-GB" w:eastAsia="en-GB"/>
          <w14:ligatures w14:val="none"/>
        </w:rPr>
        <w:t>SỞ GDHHPS</w:t>
      </w:r>
      <w:r w:rsidRPr="004A574B">
        <w:rPr>
          <w:rFonts w:ascii="Times New Roman" w:eastAsia="Times New Roman" w:hAnsi="Times New Roman" w:cs="Times New Roman"/>
          <w:kern w:val="0"/>
          <w:sz w:val="28"/>
          <w:szCs w:val="28"/>
          <w:lang w:val="en-GB" w:eastAsia="en-GB"/>
          <w14:ligatures w14:val="none"/>
        </w:rPr>
        <w:t>, CCP, trung tâm lưu ký; cấp, thu hồi giấy phép hành nghề; giám sát tuân thủ pháp luật của các thành viên; và áp dụng biện pháp hành chính trong trường hợp vi phạm. Quy định này tạo cơ chế quản lý chuyên sâu, chuyên nghiệp và hạn chế xung đột lợi ích.</w:t>
      </w:r>
    </w:p>
    <w:p w14:paraId="4251E193" w14:textId="2892169E" w:rsidR="004A574B" w:rsidRPr="00246EEC" w:rsidRDefault="004A574B" w:rsidP="004A574B">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246EEC">
        <w:rPr>
          <w:rFonts w:ascii="Times New Roman" w:eastAsia="Times New Roman" w:hAnsi="Times New Roman" w:cs="Times New Roman"/>
          <w:b/>
          <w:bCs/>
          <w:i/>
          <w:iCs/>
          <w:kern w:val="0"/>
          <w:sz w:val="28"/>
          <w:szCs w:val="28"/>
          <w:lang w:val="en-GB" w:eastAsia="en-GB"/>
          <w14:ligatures w14:val="none"/>
        </w:rPr>
        <w:t>2.</w:t>
      </w:r>
      <w:r w:rsidR="00246EEC" w:rsidRPr="00246EEC">
        <w:rPr>
          <w:rFonts w:ascii="Times New Roman" w:eastAsia="Times New Roman" w:hAnsi="Times New Roman" w:cs="Times New Roman"/>
          <w:b/>
          <w:bCs/>
          <w:i/>
          <w:iCs/>
          <w:kern w:val="0"/>
          <w:sz w:val="28"/>
          <w:szCs w:val="28"/>
          <w:lang w:val="en-GB" w:eastAsia="en-GB"/>
          <w14:ligatures w14:val="none"/>
        </w:rPr>
        <w:t>2</w:t>
      </w:r>
      <w:r w:rsidRPr="00246EEC">
        <w:rPr>
          <w:rFonts w:ascii="Times New Roman" w:eastAsia="Times New Roman" w:hAnsi="Times New Roman" w:cs="Times New Roman"/>
          <w:b/>
          <w:bCs/>
          <w:i/>
          <w:iCs/>
          <w:kern w:val="0"/>
          <w:sz w:val="28"/>
          <w:szCs w:val="28"/>
          <w:lang w:val="en-GB" w:eastAsia="en-GB"/>
          <w14:ligatures w14:val="none"/>
        </w:rPr>
        <w:t>. Quy định cơ chế phối hợp liên ngành (NHNN, Bộ Tài chính, Bộ Công an, Bộ NN&amp;</w:t>
      </w:r>
      <w:r w:rsidR="00246EEC" w:rsidRPr="00246EEC">
        <w:rPr>
          <w:rFonts w:ascii="Times New Roman" w:eastAsia="Times New Roman" w:hAnsi="Times New Roman" w:cs="Times New Roman"/>
          <w:b/>
          <w:bCs/>
          <w:i/>
          <w:iCs/>
          <w:kern w:val="0"/>
          <w:sz w:val="28"/>
          <w:szCs w:val="28"/>
          <w:lang w:val="en-GB" w:eastAsia="en-GB"/>
          <w14:ligatures w14:val="none"/>
        </w:rPr>
        <w:t>MT</w:t>
      </w:r>
      <w:r w:rsidRPr="00246EEC">
        <w:rPr>
          <w:rFonts w:ascii="Times New Roman" w:eastAsia="Times New Roman" w:hAnsi="Times New Roman" w:cs="Times New Roman"/>
          <w:b/>
          <w:bCs/>
          <w:i/>
          <w:iCs/>
          <w:kern w:val="0"/>
          <w:sz w:val="28"/>
          <w:szCs w:val="28"/>
          <w:lang w:val="en-GB" w:eastAsia="en-GB"/>
          <w14:ligatures w14:val="none"/>
        </w:rPr>
        <w:t>…)</w:t>
      </w:r>
    </w:p>
    <w:p w14:paraId="0B89C255" w14:textId="77777777" w:rsidR="00A02035" w:rsidRDefault="00A02035" w:rsidP="004A574B">
      <w:pPr>
        <w:spacing w:before="120" w:after="120" w:line="240" w:lineRule="auto"/>
        <w:ind w:firstLine="720"/>
        <w:jc w:val="both"/>
        <w:rPr>
          <w:rFonts w:ascii="Times New Roman" w:hAnsi="Times New Roman" w:cs="Times New Roman"/>
          <w:sz w:val="28"/>
          <w:szCs w:val="28"/>
        </w:rPr>
      </w:pPr>
      <w:r w:rsidRPr="00A02035">
        <w:rPr>
          <w:rFonts w:ascii="Times New Roman" w:hAnsi="Times New Roman" w:cs="Times New Roman"/>
          <w:sz w:val="28"/>
          <w:szCs w:val="28"/>
        </w:rPr>
        <w:t>Thị trường hàng hóa phái sinh có mối liên hệ mật thiết với nhiều lĩnh vực kinh tế – xã hội khác nhau, từ thanh toán tài chính, an toàn tiền tệ, nghĩa vụ thuế, cho đến quản lý hàng hóa cơ sở và phòng chống tội phạm kinh tế. Vì vậy, việc thiết lập một cơ chế phối hợp liên ngành là điều kiện tiên quyết để bảo đảm sự vận hành thông suốt, minh bạch và an toàn của thị trường. Trong đó, Ngân hàng Nhà nước giữ vai trò quan trọng trong quản lý dòng tiền, giám sát hoạt động thanh toán và phòng ngừa rửa tiền thông qua giao dịch phái sinh; Bộ Tài chính có trách nhiệm giám sát nghĩa vụ thuế, phí và chế độ hạch toán tài chính nhằm bảo đảm tính minh bạch trong báo cáo và nghĩa vụ ngân sách; Bộ Công an tham gia vào công tác phòng chống và xử lý các hành vi gian lận, thao túng, lừa đảo, bảo vệ an ninh tài chính; trong khi Bộ Nông nghiệp và Phát triển nông thôn phối hợp quản lý chất lượng, nguồn gốc và tính xác thực của hàng hóa nông sản được sử dụng làm tài sản cơ sở trong giao dịch.</w:t>
      </w:r>
    </w:p>
    <w:p w14:paraId="48F7615C" w14:textId="7F07E68B" w:rsidR="00A02035" w:rsidRPr="00A02035" w:rsidRDefault="00A02035" w:rsidP="004A574B">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Dự thảo Luật</w:t>
      </w:r>
      <w:r w:rsidRPr="00A02035">
        <w:rPr>
          <w:rFonts w:ascii="Times New Roman" w:hAnsi="Times New Roman" w:cs="Times New Roman"/>
          <w:sz w:val="28"/>
          <w:szCs w:val="28"/>
        </w:rPr>
        <w:t xml:space="preserve"> xác định rõ trách nhiệm của từng cơ quan, còn những nội dung kỹ thuật và quy trình cụ thể về chia sẻ dữ liệu, chế độ báo cáo và phương thức phối hợp sẽ được Chính phủ quy định tại Nghị định hoặc ban hành thành Quy chế liên ngành. Cách tiếp cận này vừa bảo đảm khung pháp lý chặt chẽ, vừa tạo sự linh hoạt trong tổ chức thực hiện, qua đó giúp nâng cao hiệu quả quản lý, giảm thiểu rủi ro hệ thống và củng cố niềm tin của nhà đầu tư đối với thị trường hàng hóa phái sinh.</w:t>
      </w:r>
    </w:p>
    <w:p w14:paraId="50A0A02A" w14:textId="69645400" w:rsidR="004A574B" w:rsidRPr="00246EEC" w:rsidRDefault="004A574B" w:rsidP="004A574B">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246EEC">
        <w:rPr>
          <w:rFonts w:ascii="Times New Roman" w:eastAsia="Times New Roman" w:hAnsi="Times New Roman" w:cs="Times New Roman"/>
          <w:b/>
          <w:bCs/>
          <w:i/>
          <w:iCs/>
          <w:kern w:val="0"/>
          <w:sz w:val="28"/>
          <w:szCs w:val="28"/>
          <w:lang w:val="en-GB" w:eastAsia="en-GB"/>
          <w14:ligatures w14:val="none"/>
        </w:rPr>
        <w:t>2.</w:t>
      </w:r>
      <w:r w:rsidR="00246EEC" w:rsidRPr="00246EEC">
        <w:rPr>
          <w:rFonts w:ascii="Times New Roman" w:eastAsia="Times New Roman" w:hAnsi="Times New Roman" w:cs="Times New Roman"/>
          <w:b/>
          <w:bCs/>
          <w:i/>
          <w:iCs/>
          <w:kern w:val="0"/>
          <w:sz w:val="28"/>
          <w:szCs w:val="28"/>
          <w:lang w:val="en-GB" w:eastAsia="en-GB"/>
          <w14:ligatures w14:val="none"/>
        </w:rPr>
        <w:t>3</w:t>
      </w:r>
      <w:r w:rsidRPr="00246EEC">
        <w:rPr>
          <w:rFonts w:ascii="Times New Roman" w:eastAsia="Times New Roman" w:hAnsi="Times New Roman" w:cs="Times New Roman"/>
          <w:b/>
          <w:bCs/>
          <w:i/>
          <w:iCs/>
          <w:kern w:val="0"/>
          <w:sz w:val="28"/>
          <w:szCs w:val="28"/>
          <w:lang w:val="en-GB" w:eastAsia="en-GB"/>
          <w14:ligatures w14:val="none"/>
        </w:rPr>
        <w:t>. Công nhận và tạo hành lang pháp lý cho tổ chức xã hội – nghề nghiệp</w:t>
      </w:r>
    </w:p>
    <w:p w14:paraId="600BD550" w14:textId="77777777" w:rsidR="00AE4CA4" w:rsidRDefault="00A02035" w:rsidP="00D429A2">
      <w:pPr>
        <w:spacing w:before="120" w:after="120" w:line="240" w:lineRule="auto"/>
        <w:ind w:firstLine="720"/>
        <w:jc w:val="both"/>
        <w:rPr>
          <w:rFonts w:ascii="Times New Roman" w:hAnsi="Times New Roman" w:cs="Times New Roman"/>
          <w:sz w:val="28"/>
          <w:szCs w:val="28"/>
        </w:rPr>
      </w:pPr>
      <w:r w:rsidRPr="00A02035">
        <w:rPr>
          <w:rFonts w:ascii="Times New Roman" w:hAnsi="Times New Roman" w:cs="Times New Roman"/>
          <w:sz w:val="28"/>
          <w:szCs w:val="28"/>
        </w:rPr>
        <w:t xml:space="preserve">Để bảo đảm sự phát triển bền vững và chuyên nghiệp của thị trường giao dịch hàng hóa phái sinh, Luật cần thiết phải ghi nhận và trao vai trò chính thức cho các tổ chức xã hội – nghề nghiệp như hiệp hội, hội môi giới, hội tư vấn. Đây là những chủ thể trung gian quan trọng, vừa đại diện cho lợi ích của cộng đồng hành nghề, vừa là cánh tay nối dài hỗ trợ cơ quan quản lý trong việc tổ chức, điều tiết và giám sát thị trường. Các tổ chức này được thành lập theo quy định của pháp luật và hoạt động dưới sự giám sát trực tiếp của </w:t>
      </w:r>
      <w:r w:rsidR="00AE4CA4">
        <w:rPr>
          <w:rFonts w:ascii="Times New Roman" w:hAnsi="Times New Roman" w:cs="Times New Roman"/>
          <w:sz w:val="28"/>
          <w:szCs w:val="28"/>
        </w:rPr>
        <w:t>Ủy ban giao dịch hàng hóa phái sinh</w:t>
      </w:r>
      <w:r w:rsidRPr="00A02035">
        <w:rPr>
          <w:rFonts w:ascii="Times New Roman" w:hAnsi="Times New Roman" w:cs="Times New Roman"/>
          <w:sz w:val="28"/>
          <w:szCs w:val="28"/>
        </w:rPr>
        <w:t xml:space="preserve">, đồng thời được trao một số chức năng cụ thể nhằm nâng cao chất lượng và chuẩn hóa hoạt động nghề nghiệp. </w:t>
      </w:r>
    </w:p>
    <w:p w14:paraId="33689683" w14:textId="0A64ECA4" w:rsidR="004A574B" w:rsidRDefault="00AE4CA4" w:rsidP="00D429A2">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Các tổ chức này có </w:t>
      </w:r>
      <w:r w:rsidR="00A02035" w:rsidRPr="00A02035">
        <w:rPr>
          <w:rFonts w:ascii="Times New Roman" w:hAnsi="Times New Roman" w:cs="Times New Roman"/>
          <w:sz w:val="28"/>
          <w:szCs w:val="28"/>
        </w:rPr>
        <w:t xml:space="preserve">trách nhiệm tổ chức đào tạo, bồi dưỡng kiến thức chuyên môn và cấp chứng chỉ hành nghề cho đội ngũ môi giới, tư vấn, góp phần hình thành nguồn nhân lực đạt chuẩn và đáp ứng yêu cầu của thị trường. Bên cạnh đó, việc xây dựng và giám sát thực thi các chuẩn mực đạo đức nghề nghiệp là nhiệm vụ quan trọng, nhằm bảo đảm tính liêm chính, minh bạch và hạn chế xung đột lợi ích trong hoạt động hành nghề. Các tổ chức này cũng cần tham gia vào quá trình </w:t>
      </w:r>
      <w:r w:rsidR="00A02035" w:rsidRPr="00A02035">
        <w:rPr>
          <w:rFonts w:ascii="Times New Roman" w:hAnsi="Times New Roman" w:cs="Times New Roman"/>
          <w:sz w:val="28"/>
          <w:szCs w:val="28"/>
        </w:rPr>
        <w:lastRenderedPageBreak/>
        <w:t xml:space="preserve">xây dựng chính sách, thông qua việc đóng góp ý kiến, phản biện và đề xuất giải pháp phù hợp với thực tiễn vận hành thị trường. Ngoài ra, với lợi thế tiếp cận trực tiếp cộng đồng nhà đầu tư, các hiệp hội và hội nghề nghiệp còn có vai trò phối hợp với cơ quan quản lý trong công tác tuyên truyền, phổ biến kiến thức và nâng cao hiểu biết của công chúng về rủi ro cũng như lợi ích khi tham gia thị trường phái sinh. Song song với quyền hạn và vai trò được công nhận, các tổ chức này phải thực hiện nghĩa vụ báo cáo định kỳ </w:t>
      </w:r>
      <w:r>
        <w:rPr>
          <w:rFonts w:ascii="Times New Roman" w:hAnsi="Times New Roman" w:cs="Times New Roman"/>
          <w:sz w:val="28"/>
          <w:szCs w:val="28"/>
        </w:rPr>
        <w:t>đến Ủy ban giao dịch hàng hóa phái sinh</w:t>
      </w:r>
      <w:r w:rsidR="00A02035" w:rsidRPr="00A02035">
        <w:rPr>
          <w:rFonts w:ascii="Times New Roman" w:hAnsi="Times New Roman" w:cs="Times New Roman"/>
          <w:sz w:val="28"/>
          <w:szCs w:val="28"/>
        </w:rPr>
        <w:t>, bảo đảm cơ chế giám sát hai chiều vừa minh bạch</w:t>
      </w:r>
      <w:r w:rsidR="00231272">
        <w:rPr>
          <w:rFonts w:ascii="Times New Roman" w:hAnsi="Times New Roman" w:cs="Times New Roman"/>
          <w:sz w:val="28"/>
          <w:szCs w:val="28"/>
        </w:rPr>
        <w:t xml:space="preserve"> hiệu quả.</w:t>
      </w:r>
    </w:p>
    <w:p w14:paraId="16BA1CAA" w14:textId="29ED4AB2" w:rsidR="00ED6258" w:rsidRPr="00ED6258" w:rsidRDefault="00ED6258" w:rsidP="00ED6258">
      <w:pPr>
        <w:spacing w:before="120" w:after="120" w:line="240" w:lineRule="auto"/>
        <w:ind w:firstLine="720"/>
        <w:jc w:val="both"/>
        <w:rPr>
          <w:rStyle w:val="Strong"/>
          <w:rFonts w:ascii="Times New Roman" w:eastAsiaTheme="majorEastAsia" w:hAnsi="Times New Roman" w:cs="Times New Roman"/>
          <w:sz w:val="28"/>
          <w:szCs w:val="28"/>
        </w:rPr>
      </w:pPr>
      <w:r w:rsidRPr="00ED6258">
        <w:rPr>
          <w:rStyle w:val="Strong"/>
          <w:rFonts w:ascii="Times New Roman" w:eastAsiaTheme="majorEastAsia" w:hAnsi="Times New Roman" w:cs="Times New Roman"/>
          <w:sz w:val="28"/>
          <w:szCs w:val="28"/>
        </w:rPr>
        <w:t>3. Chính sách 3: Quy định về tổ chức, cấp phép và quản trị Sở Giao dịch hàng hóa phái sinh (GDHHPS)</w:t>
      </w:r>
    </w:p>
    <w:p w14:paraId="7CEA575B" w14:textId="60838E8B" w:rsidR="00ED6258" w:rsidRPr="00ED6258" w:rsidRDefault="00ED6258" w:rsidP="00ED6258">
      <w:pPr>
        <w:spacing w:before="120" w:after="120" w:line="240" w:lineRule="auto"/>
        <w:ind w:firstLine="720"/>
        <w:jc w:val="both"/>
        <w:rPr>
          <w:rStyle w:val="Strong"/>
          <w:rFonts w:ascii="Times New Roman" w:eastAsiaTheme="majorEastAsia" w:hAnsi="Times New Roman" w:cs="Times New Roman"/>
          <w:i/>
          <w:iCs/>
          <w:sz w:val="28"/>
          <w:szCs w:val="28"/>
        </w:rPr>
      </w:pPr>
      <w:r w:rsidRPr="00ED6258">
        <w:rPr>
          <w:rStyle w:val="Strong"/>
          <w:rFonts w:ascii="Times New Roman" w:eastAsiaTheme="majorEastAsia" w:hAnsi="Times New Roman" w:cs="Times New Roman"/>
          <w:i/>
          <w:iCs/>
          <w:sz w:val="28"/>
          <w:szCs w:val="28"/>
        </w:rPr>
        <w:t>3.1. Quy định điều kiện thành lập S</w:t>
      </w:r>
      <w:r w:rsidR="002E2352">
        <w:rPr>
          <w:rStyle w:val="Strong"/>
          <w:rFonts w:ascii="Times New Roman" w:eastAsiaTheme="majorEastAsia" w:hAnsi="Times New Roman" w:cs="Times New Roman"/>
          <w:i/>
          <w:iCs/>
          <w:sz w:val="28"/>
          <w:szCs w:val="28"/>
        </w:rPr>
        <w:t xml:space="preserve">ở </w:t>
      </w:r>
      <w:r w:rsidRPr="00ED6258">
        <w:rPr>
          <w:rStyle w:val="Strong"/>
          <w:rFonts w:ascii="Times New Roman" w:eastAsiaTheme="majorEastAsia" w:hAnsi="Times New Roman" w:cs="Times New Roman"/>
          <w:i/>
          <w:iCs/>
          <w:sz w:val="28"/>
          <w:szCs w:val="28"/>
        </w:rPr>
        <w:t>GDHHPS</w:t>
      </w:r>
    </w:p>
    <w:p w14:paraId="689991CA" w14:textId="1126117C" w:rsidR="00ED6258" w:rsidRPr="00ED6258" w:rsidRDefault="00ED6258" w:rsidP="00ED625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ED6258">
        <w:rPr>
          <w:rStyle w:val="Strong"/>
          <w:rFonts w:ascii="Times New Roman" w:eastAsiaTheme="majorEastAsia" w:hAnsi="Times New Roman" w:cs="Times New Roman"/>
          <w:b w:val="0"/>
          <w:bCs w:val="0"/>
          <w:sz w:val="28"/>
          <w:szCs w:val="28"/>
        </w:rPr>
        <w:t xml:space="preserve">Để bảo đảm sự an toàn, minh bạch và khả năng vận hành hiệu quả, Luật cần đặt ra các điều kiện chặt chẽ cho việc thành lập </w:t>
      </w:r>
      <w:r w:rsidR="002E2352">
        <w:rPr>
          <w:rStyle w:val="Strong"/>
          <w:rFonts w:ascii="Times New Roman" w:eastAsiaTheme="majorEastAsia" w:hAnsi="Times New Roman" w:cs="Times New Roman"/>
          <w:b w:val="0"/>
          <w:bCs w:val="0"/>
          <w:sz w:val="28"/>
          <w:szCs w:val="28"/>
        </w:rPr>
        <w:t>Sở GDHHPS</w:t>
      </w:r>
      <w:r w:rsidRPr="00ED6258">
        <w:rPr>
          <w:rStyle w:val="Strong"/>
          <w:rFonts w:ascii="Times New Roman" w:eastAsiaTheme="majorEastAsia" w:hAnsi="Times New Roman" w:cs="Times New Roman"/>
          <w:b w:val="0"/>
          <w:bCs w:val="0"/>
          <w:sz w:val="28"/>
          <w:szCs w:val="28"/>
        </w:rPr>
        <w:t>. Các điều kiện này bao gồm vốn pháp định đủ lớn để bảo đảm năng lực tài chính và khả năng chịu đựng rủi ro; cơ sở hạ tầng công nghệ thông tin hiện đại, có khả năng xử lý khối lượng giao dịch lớn và bảo đảm an ninh mạng; cơ cấu sở hữu rõ ràng, minh bạch nhằm hạn chế xung đột lợi ích, bảo đảm sự tham gia đa dạng của các tổ chức tài chính – thương mại có uy tín; và hệ thống kiểm soát nội bộ hiệu quả, bao gồm quản lý rủi ro, kiểm toán nội bộ và cơ chế giám sát tuân thủ. Các điều kiện này cần tương thích với chuẩn mực quốc tế, đồng thời phù hợp với thực tiễn thị trường Việt Nam.</w:t>
      </w:r>
    </w:p>
    <w:p w14:paraId="667AE492" w14:textId="77777777" w:rsidR="00ED6258" w:rsidRPr="002E2352" w:rsidRDefault="00ED6258" w:rsidP="00ED6258">
      <w:pPr>
        <w:spacing w:before="120" w:after="120" w:line="240" w:lineRule="auto"/>
        <w:ind w:firstLine="720"/>
        <w:jc w:val="both"/>
        <w:rPr>
          <w:rStyle w:val="Strong"/>
          <w:rFonts w:ascii="Times New Roman" w:eastAsiaTheme="majorEastAsia" w:hAnsi="Times New Roman" w:cs="Times New Roman"/>
          <w:i/>
          <w:iCs/>
          <w:sz w:val="28"/>
          <w:szCs w:val="28"/>
        </w:rPr>
      </w:pPr>
      <w:r w:rsidRPr="002E2352">
        <w:rPr>
          <w:rStyle w:val="Strong"/>
          <w:rFonts w:ascii="Times New Roman" w:eastAsiaTheme="majorEastAsia" w:hAnsi="Times New Roman" w:cs="Times New Roman"/>
          <w:i/>
          <w:iCs/>
          <w:sz w:val="28"/>
          <w:szCs w:val="28"/>
        </w:rPr>
        <w:t>3.2. Quy định cơ cấu tổ chức quản trị, tiêu chuẩn nhân sự quản lý chủ chốt</w:t>
      </w:r>
    </w:p>
    <w:p w14:paraId="6FF06917" w14:textId="200AEBA6" w:rsidR="00ED6258" w:rsidRPr="00ED6258" w:rsidRDefault="00ED6258" w:rsidP="00ED625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ED6258">
        <w:rPr>
          <w:rStyle w:val="Strong"/>
          <w:rFonts w:ascii="Times New Roman" w:eastAsiaTheme="majorEastAsia" w:hAnsi="Times New Roman" w:cs="Times New Roman"/>
          <w:b w:val="0"/>
          <w:bCs w:val="0"/>
          <w:sz w:val="28"/>
          <w:szCs w:val="28"/>
        </w:rPr>
        <w:t xml:space="preserve">Luật phải quy định một khung quản trị rõ ràng đối với </w:t>
      </w:r>
      <w:r w:rsidR="002E2352">
        <w:rPr>
          <w:rStyle w:val="Strong"/>
          <w:rFonts w:ascii="Times New Roman" w:eastAsiaTheme="majorEastAsia" w:hAnsi="Times New Roman" w:cs="Times New Roman"/>
          <w:b w:val="0"/>
          <w:bCs w:val="0"/>
          <w:sz w:val="28"/>
          <w:szCs w:val="28"/>
        </w:rPr>
        <w:t>Sở GDHHPS</w:t>
      </w:r>
      <w:r w:rsidRPr="00ED6258">
        <w:rPr>
          <w:rStyle w:val="Strong"/>
          <w:rFonts w:ascii="Times New Roman" w:eastAsiaTheme="majorEastAsia" w:hAnsi="Times New Roman" w:cs="Times New Roman"/>
          <w:b w:val="0"/>
          <w:bCs w:val="0"/>
          <w:sz w:val="28"/>
          <w:szCs w:val="28"/>
        </w:rPr>
        <w:t>, theo hướng tách bạch giữa chức năng quản lý và điều hành, bảo đảm sự giám sát chặt chẽ nhưng không cản trở tính linh hoạt trong vận hành. Cơ cấu tổ chức quản trị cần có Hội đồng quản trị, Ban điều hành, Ban kiểm soát với quyền hạn và trách nhiệm được quy định cụ thể. Đặc biệt, nhân sự quản lý chủ chốt như Chủ tịch Hội đồng quản trị, Tổng giám đốc, Giám đốc quản trị rủi ro phải đáp ứng các tiêu chuẩn cao về chuyên môn, kinh nghiệm và đạo đức nghề nghiệp. Quy định này nhằm nâng cao năng lực quản trị, hạn chế rủi ro vận hành, đồng thời tạo niềm tin cho nhà đầu tư và thành viên thị trường.</w:t>
      </w:r>
    </w:p>
    <w:p w14:paraId="74FC929C" w14:textId="7BCA23BE" w:rsidR="00ED6258" w:rsidRPr="002E2352" w:rsidRDefault="00ED6258" w:rsidP="00ED6258">
      <w:pPr>
        <w:spacing w:before="120" w:after="120" w:line="240" w:lineRule="auto"/>
        <w:ind w:firstLine="720"/>
        <w:jc w:val="both"/>
        <w:rPr>
          <w:rStyle w:val="Strong"/>
          <w:rFonts w:ascii="Times New Roman" w:eastAsiaTheme="majorEastAsia" w:hAnsi="Times New Roman" w:cs="Times New Roman"/>
          <w:i/>
          <w:iCs/>
          <w:sz w:val="28"/>
          <w:szCs w:val="28"/>
        </w:rPr>
      </w:pPr>
      <w:r w:rsidRPr="002E2352">
        <w:rPr>
          <w:rStyle w:val="Strong"/>
          <w:rFonts w:ascii="Times New Roman" w:eastAsiaTheme="majorEastAsia" w:hAnsi="Times New Roman" w:cs="Times New Roman"/>
          <w:i/>
          <w:iCs/>
          <w:sz w:val="28"/>
          <w:szCs w:val="28"/>
        </w:rPr>
        <w:t xml:space="preserve">3.3. Quy định quyền, nghĩa vụ, chế độ báo cáo và công bố thông tin của </w:t>
      </w:r>
      <w:r w:rsidR="002E2352" w:rsidRPr="002E2352">
        <w:rPr>
          <w:rStyle w:val="Strong"/>
          <w:rFonts w:ascii="Times New Roman" w:eastAsiaTheme="majorEastAsia" w:hAnsi="Times New Roman" w:cs="Times New Roman"/>
          <w:i/>
          <w:iCs/>
          <w:sz w:val="28"/>
          <w:szCs w:val="28"/>
        </w:rPr>
        <w:t>Sở GDHHPS</w:t>
      </w:r>
    </w:p>
    <w:p w14:paraId="1C98B251" w14:textId="0349995C" w:rsidR="00ED6258" w:rsidRPr="00ED6258" w:rsidRDefault="002E2352" w:rsidP="00ED6258">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S</w:t>
      </w:r>
      <w:r w:rsidR="00EF7BB6">
        <w:rPr>
          <w:rStyle w:val="Strong"/>
          <w:rFonts w:ascii="Times New Roman" w:eastAsiaTheme="majorEastAsia" w:hAnsi="Times New Roman" w:cs="Times New Roman"/>
          <w:b w:val="0"/>
          <w:bCs w:val="0"/>
          <w:sz w:val="28"/>
          <w:szCs w:val="28"/>
        </w:rPr>
        <w:t>ở</w:t>
      </w:r>
      <w:r>
        <w:rPr>
          <w:rStyle w:val="Strong"/>
          <w:rFonts w:ascii="Times New Roman" w:eastAsiaTheme="majorEastAsia" w:hAnsi="Times New Roman" w:cs="Times New Roman"/>
          <w:b w:val="0"/>
          <w:bCs w:val="0"/>
          <w:sz w:val="28"/>
          <w:szCs w:val="28"/>
        </w:rPr>
        <w:t xml:space="preserve"> GDHHPS</w:t>
      </w:r>
      <w:r w:rsidR="00ED6258" w:rsidRPr="00ED6258">
        <w:rPr>
          <w:rStyle w:val="Strong"/>
          <w:rFonts w:ascii="Times New Roman" w:eastAsiaTheme="majorEastAsia" w:hAnsi="Times New Roman" w:cs="Times New Roman"/>
          <w:b w:val="0"/>
          <w:bCs w:val="0"/>
          <w:sz w:val="28"/>
          <w:szCs w:val="28"/>
        </w:rPr>
        <w:t xml:space="preserve"> có quyền tổ chức và vận hành hệ thống giao dịch, xây dựng và ban hành quy chế niêm yết hợp đồng, quy định về ký quỹ, thanh toán bù trừ trong phạm vi pháp luật cho phép. Đồng thời, </w:t>
      </w:r>
      <w:r>
        <w:rPr>
          <w:rStyle w:val="Strong"/>
          <w:rFonts w:ascii="Times New Roman" w:eastAsiaTheme="majorEastAsia" w:hAnsi="Times New Roman" w:cs="Times New Roman"/>
          <w:b w:val="0"/>
          <w:bCs w:val="0"/>
          <w:sz w:val="28"/>
          <w:szCs w:val="28"/>
        </w:rPr>
        <w:t>S</w:t>
      </w:r>
      <w:r w:rsidR="00EF7BB6">
        <w:rPr>
          <w:rStyle w:val="Strong"/>
          <w:rFonts w:ascii="Times New Roman" w:eastAsiaTheme="majorEastAsia" w:hAnsi="Times New Roman" w:cs="Times New Roman"/>
          <w:b w:val="0"/>
          <w:bCs w:val="0"/>
          <w:sz w:val="28"/>
          <w:szCs w:val="28"/>
        </w:rPr>
        <w:t>ở</w:t>
      </w:r>
      <w:r>
        <w:rPr>
          <w:rStyle w:val="Strong"/>
          <w:rFonts w:ascii="Times New Roman" w:eastAsiaTheme="majorEastAsia" w:hAnsi="Times New Roman" w:cs="Times New Roman"/>
          <w:b w:val="0"/>
          <w:bCs w:val="0"/>
          <w:sz w:val="28"/>
          <w:szCs w:val="28"/>
        </w:rPr>
        <w:t xml:space="preserve"> GDHHPS</w:t>
      </w:r>
      <w:r w:rsidR="00ED6258" w:rsidRPr="00ED6258">
        <w:rPr>
          <w:rStyle w:val="Strong"/>
          <w:rFonts w:ascii="Times New Roman" w:eastAsiaTheme="majorEastAsia" w:hAnsi="Times New Roman" w:cs="Times New Roman"/>
          <w:b w:val="0"/>
          <w:bCs w:val="0"/>
          <w:sz w:val="28"/>
          <w:szCs w:val="28"/>
        </w:rPr>
        <w:t xml:space="preserve"> có nghĩa vụ bảo đảm hoạt động giao dịch công khai, minh bạch, cung cấp đầy đủ thông tin cho nhà đầu tư và thành viên thị trường, và báo cáo định kỳ hoặc đột xuất cho cơ quan quản lý nhà nước. Chế độ công bố thông tin phải bao gồm giá, khối lượng giao dịch, vị thế mở, tình trạng ký quỹ, và các sự kiện bất thường có thể ảnh hưởng đến an toàn </w:t>
      </w:r>
      <w:r w:rsidR="00ED6258" w:rsidRPr="00ED6258">
        <w:rPr>
          <w:rStyle w:val="Strong"/>
          <w:rFonts w:ascii="Times New Roman" w:eastAsiaTheme="majorEastAsia" w:hAnsi="Times New Roman" w:cs="Times New Roman"/>
          <w:b w:val="0"/>
          <w:bCs w:val="0"/>
          <w:sz w:val="28"/>
          <w:szCs w:val="28"/>
        </w:rPr>
        <w:lastRenderedPageBreak/>
        <w:t>hệ thống. Quy định này nhằm nâng cao tính minh bạch, hạn chế rủi ro hệ thống và tạo cơ sở để cơ quan quản lý giám sát hiệu quả.</w:t>
      </w:r>
    </w:p>
    <w:p w14:paraId="28FD85C6" w14:textId="77777777" w:rsidR="00ED6258" w:rsidRPr="00EF7BB6" w:rsidRDefault="00ED6258" w:rsidP="00ED6258">
      <w:pPr>
        <w:spacing w:before="120" w:after="120" w:line="240" w:lineRule="auto"/>
        <w:ind w:firstLine="720"/>
        <w:jc w:val="both"/>
        <w:rPr>
          <w:rStyle w:val="Strong"/>
          <w:rFonts w:ascii="Times New Roman" w:eastAsiaTheme="majorEastAsia" w:hAnsi="Times New Roman" w:cs="Times New Roman"/>
          <w:i/>
          <w:iCs/>
          <w:sz w:val="28"/>
          <w:szCs w:val="28"/>
        </w:rPr>
      </w:pPr>
      <w:r w:rsidRPr="00EF7BB6">
        <w:rPr>
          <w:rStyle w:val="Strong"/>
          <w:rFonts w:ascii="Times New Roman" w:eastAsiaTheme="majorEastAsia" w:hAnsi="Times New Roman" w:cs="Times New Roman"/>
          <w:i/>
          <w:iCs/>
          <w:sz w:val="28"/>
          <w:szCs w:val="28"/>
        </w:rPr>
        <w:t>3.4. Quy định điều lệ hoạt động, cơ chế tạm ngừng, giải thể, chấm dứt hoạt động</w:t>
      </w:r>
    </w:p>
    <w:p w14:paraId="5C433023" w14:textId="53843BDC" w:rsidR="00ED6258" w:rsidRPr="00ED6258" w:rsidRDefault="00ED6258" w:rsidP="00ED625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ED6258">
        <w:rPr>
          <w:rStyle w:val="Strong"/>
          <w:rFonts w:ascii="Times New Roman" w:eastAsiaTheme="majorEastAsia" w:hAnsi="Times New Roman" w:cs="Times New Roman"/>
          <w:b w:val="0"/>
          <w:bCs w:val="0"/>
          <w:sz w:val="28"/>
          <w:szCs w:val="28"/>
        </w:rPr>
        <w:t xml:space="preserve">Luật cần yêu cầu mỗi </w:t>
      </w:r>
      <w:r w:rsidR="002E2352">
        <w:rPr>
          <w:rStyle w:val="Strong"/>
          <w:rFonts w:ascii="Times New Roman" w:eastAsiaTheme="majorEastAsia" w:hAnsi="Times New Roman" w:cs="Times New Roman"/>
          <w:b w:val="0"/>
          <w:bCs w:val="0"/>
          <w:sz w:val="28"/>
          <w:szCs w:val="28"/>
        </w:rPr>
        <w:t>Sở GDHHPS</w:t>
      </w:r>
      <w:r w:rsidRPr="00ED6258">
        <w:rPr>
          <w:rStyle w:val="Strong"/>
          <w:rFonts w:ascii="Times New Roman" w:eastAsiaTheme="majorEastAsia" w:hAnsi="Times New Roman" w:cs="Times New Roman"/>
          <w:b w:val="0"/>
          <w:bCs w:val="0"/>
          <w:sz w:val="28"/>
          <w:szCs w:val="28"/>
        </w:rPr>
        <w:t xml:space="preserve"> xây dựng điều lệ hoạt động được cơ quan quản lý phê duyệt, trong đó quy định rõ quyền và nghĩa vụ của các bên tham gia, nguyên tắc quản trị, quy trình quản lý rủi ro và cơ chế xử lý tranh chấp. Ngoài ra, Luật phải có quy định cụ thể về trường hợp </w:t>
      </w:r>
      <w:r w:rsidR="002E2352">
        <w:rPr>
          <w:rStyle w:val="Strong"/>
          <w:rFonts w:ascii="Times New Roman" w:eastAsiaTheme="majorEastAsia" w:hAnsi="Times New Roman" w:cs="Times New Roman"/>
          <w:b w:val="0"/>
          <w:bCs w:val="0"/>
          <w:sz w:val="28"/>
          <w:szCs w:val="28"/>
        </w:rPr>
        <w:t>Sở GDHHPS</w:t>
      </w:r>
      <w:r w:rsidRPr="00ED6258">
        <w:rPr>
          <w:rStyle w:val="Strong"/>
          <w:rFonts w:ascii="Times New Roman" w:eastAsiaTheme="majorEastAsia" w:hAnsi="Times New Roman" w:cs="Times New Roman"/>
          <w:b w:val="0"/>
          <w:bCs w:val="0"/>
          <w:sz w:val="28"/>
          <w:szCs w:val="28"/>
        </w:rPr>
        <w:t xml:space="preserve"> được tạm ngừng hoạt động để bảo đảm an toàn thị trường, điều kiện giải thể hoặc chấm dứt hoạt động, và trình tự thủ tục xử lý tài sản, hợp đồng đang tồn tại. Quy định này nhằm tạo hành lang pháp lý rõ ràng, tránh rủi ro đổ vỡ lan truyền, đồng thời bảo vệ quyền lợi của nhà đầu tư và thành viên thị trường.</w:t>
      </w:r>
    </w:p>
    <w:p w14:paraId="189A954B" w14:textId="77777777" w:rsidR="00ED6258" w:rsidRPr="00EF7BB6" w:rsidRDefault="00ED6258" w:rsidP="00ED6258">
      <w:pPr>
        <w:spacing w:before="120" w:after="120" w:line="240" w:lineRule="auto"/>
        <w:ind w:firstLine="720"/>
        <w:jc w:val="both"/>
        <w:rPr>
          <w:rStyle w:val="Strong"/>
          <w:rFonts w:ascii="Times New Roman" w:eastAsiaTheme="majorEastAsia" w:hAnsi="Times New Roman" w:cs="Times New Roman"/>
          <w:i/>
          <w:iCs/>
          <w:sz w:val="28"/>
          <w:szCs w:val="28"/>
        </w:rPr>
      </w:pPr>
      <w:r w:rsidRPr="00EF7BB6">
        <w:rPr>
          <w:rStyle w:val="Strong"/>
          <w:rFonts w:ascii="Times New Roman" w:eastAsiaTheme="majorEastAsia" w:hAnsi="Times New Roman" w:cs="Times New Roman"/>
          <w:i/>
          <w:iCs/>
          <w:sz w:val="28"/>
          <w:szCs w:val="28"/>
        </w:rPr>
        <w:t>3.5. Quy định về sàn giao dịch hàng hóa phái sinh chuyên biệt theo ngành hàng/hợp đồng</w:t>
      </w:r>
    </w:p>
    <w:p w14:paraId="5CD70B98" w14:textId="398D1C8A" w:rsidR="00ED6258" w:rsidRDefault="00ED6258" w:rsidP="00ED625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ED6258">
        <w:rPr>
          <w:rStyle w:val="Strong"/>
          <w:rFonts w:ascii="Times New Roman" w:eastAsiaTheme="majorEastAsia" w:hAnsi="Times New Roman" w:cs="Times New Roman"/>
          <w:b w:val="0"/>
          <w:bCs w:val="0"/>
          <w:sz w:val="28"/>
          <w:szCs w:val="28"/>
        </w:rPr>
        <w:t xml:space="preserve">Bên cạnh </w:t>
      </w:r>
      <w:r w:rsidR="002E2352">
        <w:rPr>
          <w:rStyle w:val="Strong"/>
          <w:rFonts w:ascii="Times New Roman" w:eastAsiaTheme="majorEastAsia" w:hAnsi="Times New Roman" w:cs="Times New Roman"/>
          <w:b w:val="0"/>
          <w:bCs w:val="0"/>
          <w:sz w:val="28"/>
          <w:szCs w:val="28"/>
        </w:rPr>
        <w:t>Sở GDHHPS</w:t>
      </w:r>
      <w:r w:rsidRPr="00ED6258">
        <w:rPr>
          <w:rStyle w:val="Strong"/>
          <w:rFonts w:ascii="Times New Roman" w:eastAsiaTheme="majorEastAsia" w:hAnsi="Times New Roman" w:cs="Times New Roman"/>
          <w:b w:val="0"/>
          <w:bCs w:val="0"/>
          <w:sz w:val="28"/>
          <w:szCs w:val="28"/>
        </w:rPr>
        <w:t xml:space="preserve"> chung, Luật cũng cần mở ra cơ chế cho phép hình thành các sàn giao dịch chuyên biệt theo ngành hàng hoặc loại hợp đồng, ví dụ sàn giao dịch nông sản, năng lượng hoặc kim loại quý. Các sàn này có thể hoạt động độc lập hoặc dưới sự quản lý, giám sát của </w:t>
      </w:r>
      <w:r w:rsidR="002E2352">
        <w:rPr>
          <w:rStyle w:val="Strong"/>
          <w:rFonts w:ascii="Times New Roman" w:eastAsiaTheme="majorEastAsia" w:hAnsi="Times New Roman" w:cs="Times New Roman"/>
          <w:b w:val="0"/>
          <w:bCs w:val="0"/>
          <w:sz w:val="28"/>
          <w:szCs w:val="28"/>
        </w:rPr>
        <w:t>Sở GDHHPS</w:t>
      </w:r>
      <w:r w:rsidRPr="00ED6258">
        <w:rPr>
          <w:rStyle w:val="Strong"/>
          <w:rFonts w:ascii="Times New Roman" w:eastAsiaTheme="majorEastAsia" w:hAnsi="Times New Roman" w:cs="Times New Roman"/>
          <w:b w:val="0"/>
          <w:bCs w:val="0"/>
          <w:sz w:val="28"/>
          <w:szCs w:val="28"/>
        </w:rPr>
        <w:t xml:space="preserve"> trung tâm. Việc cho phép thành lập sàn chuyên biệt vừa giúp đa dạng hóa sản phẩm, đáp ứng nhu cầu phòng ngừa rủi ro của từng nhóm ngành, vừa khuyến khích phát triển thị trường theo chiều sâu và tăng tính cạnh tranh. Tuy nhiên, để bảo đảm an toàn, các sàn chuyên biệt phải tuân thủ đầy đủ các điều kiện và chuẩn mực về vốn, công nghệ, quản trị và giám sát giống như </w:t>
      </w:r>
      <w:r w:rsidR="002E2352">
        <w:rPr>
          <w:rStyle w:val="Strong"/>
          <w:rFonts w:ascii="Times New Roman" w:eastAsiaTheme="majorEastAsia" w:hAnsi="Times New Roman" w:cs="Times New Roman"/>
          <w:b w:val="0"/>
          <w:bCs w:val="0"/>
          <w:sz w:val="28"/>
          <w:szCs w:val="28"/>
        </w:rPr>
        <w:t>S</w:t>
      </w:r>
      <w:r w:rsidR="00EF7BB6">
        <w:rPr>
          <w:rStyle w:val="Strong"/>
          <w:rFonts w:ascii="Times New Roman" w:eastAsiaTheme="majorEastAsia" w:hAnsi="Times New Roman" w:cs="Times New Roman"/>
          <w:b w:val="0"/>
          <w:bCs w:val="0"/>
          <w:sz w:val="28"/>
          <w:szCs w:val="28"/>
        </w:rPr>
        <w:t>ở</w:t>
      </w:r>
      <w:r w:rsidR="002E2352">
        <w:rPr>
          <w:rStyle w:val="Strong"/>
          <w:rFonts w:ascii="Times New Roman" w:eastAsiaTheme="majorEastAsia" w:hAnsi="Times New Roman" w:cs="Times New Roman"/>
          <w:b w:val="0"/>
          <w:bCs w:val="0"/>
          <w:sz w:val="28"/>
          <w:szCs w:val="28"/>
        </w:rPr>
        <w:t xml:space="preserve"> GDHHPS</w:t>
      </w:r>
      <w:r w:rsidRPr="00ED6258">
        <w:rPr>
          <w:rStyle w:val="Strong"/>
          <w:rFonts w:ascii="Times New Roman" w:eastAsiaTheme="majorEastAsia" w:hAnsi="Times New Roman" w:cs="Times New Roman"/>
          <w:b w:val="0"/>
          <w:bCs w:val="0"/>
          <w:sz w:val="28"/>
          <w:szCs w:val="28"/>
        </w:rPr>
        <w:t xml:space="preserve"> chính.</w:t>
      </w:r>
    </w:p>
    <w:p w14:paraId="25AF1F06" w14:textId="58719AB5" w:rsidR="002C389D" w:rsidRPr="002C389D" w:rsidRDefault="002C389D" w:rsidP="002C389D">
      <w:pPr>
        <w:spacing w:before="120" w:after="120" w:line="240" w:lineRule="auto"/>
        <w:ind w:firstLine="720"/>
        <w:jc w:val="both"/>
        <w:rPr>
          <w:rStyle w:val="Strong"/>
          <w:rFonts w:ascii="Times New Roman" w:eastAsiaTheme="majorEastAsia" w:hAnsi="Times New Roman" w:cs="Times New Roman"/>
          <w:sz w:val="28"/>
          <w:szCs w:val="28"/>
        </w:rPr>
      </w:pPr>
      <w:r w:rsidRPr="002C389D">
        <w:rPr>
          <w:rStyle w:val="Strong"/>
          <w:rFonts w:ascii="Times New Roman" w:eastAsiaTheme="majorEastAsia" w:hAnsi="Times New Roman" w:cs="Times New Roman"/>
          <w:sz w:val="28"/>
          <w:szCs w:val="28"/>
        </w:rPr>
        <w:t>Chính sách 4: Quy định về các chủ thể, quyền và trách nhiệm của các chủ thể tham gia thị trường</w:t>
      </w:r>
    </w:p>
    <w:p w14:paraId="4A45E62C" w14:textId="77777777" w:rsidR="002C389D" w:rsidRPr="002C389D" w:rsidRDefault="002C389D" w:rsidP="002C389D">
      <w:pPr>
        <w:spacing w:before="120" w:after="120" w:line="240" w:lineRule="auto"/>
        <w:ind w:firstLine="720"/>
        <w:jc w:val="both"/>
        <w:rPr>
          <w:rStyle w:val="Strong"/>
          <w:rFonts w:ascii="Times New Roman" w:eastAsiaTheme="majorEastAsia" w:hAnsi="Times New Roman" w:cs="Times New Roman"/>
          <w:i/>
          <w:iCs/>
          <w:sz w:val="28"/>
          <w:szCs w:val="28"/>
        </w:rPr>
      </w:pPr>
      <w:r w:rsidRPr="002C389D">
        <w:rPr>
          <w:rStyle w:val="Strong"/>
          <w:rFonts w:ascii="Times New Roman" w:eastAsiaTheme="majorEastAsia" w:hAnsi="Times New Roman" w:cs="Times New Roman"/>
          <w:i/>
          <w:iCs/>
          <w:sz w:val="28"/>
          <w:szCs w:val="28"/>
        </w:rPr>
        <w:t>4.1. Phân loại thành viên thị trường</w:t>
      </w:r>
    </w:p>
    <w:p w14:paraId="58DD5CE5" w14:textId="739EB0CC" w:rsidR="002C389D" w:rsidRPr="002C389D" w:rsidRDefault="002C389D" w:rsidP="002C389D">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2C389D">
        <w:rPr>
          <w:rStyle w:val="Strong"/>
          <w:rFonts w:ascii="Times New Roman" w:eastAsiaTheme="majorEastAsia" w:hAnsi="Times New Roman" w:cs="Times New Roman"/>
          <w:b w:val="0"/>
          <w:bCs w:val="0"/>
          <w:sz w:val="28"/>
          <w:szCs w:val="28"/>
        </w:rPr>
        <w:t xml:space="preserve">Để bảo đảm tính minh bạch và hiệu quả trong tổ chức thị trường hàng hóa phái sinh, </w:t>
      </w:r>
      <w:r w:rsidR="009C2322">
        <w:rPr>
          <w:rStyle w:val="Strong"/>
          <w:rFonts w:ascii="Times New Roman" w:eastAsiaTheme="majorEastAsia" w:hAnsi="Times New Roman" w:cs="Times New Roman"/>
          <w:b w:val="0"/>
          <w:bCs w:val="0"/>
          <w:sz w:val="28"/>
          <w:szCs w:val="28"/>
        </w:rPr>
        <w:t>dự thảo Luật</w:t>
      </w:r>
      <w:r w:rsidRPr="002C389D">
        <w:rPr>
          <w:rStyle w:val="Strong"/>
          <w:rFonts w:ascii="Times New Roman" w:eastAsiaTheme="majorEastAsia" w:hAnsi="Times New Roman" w:cs="Times New Roman"/>
          <w:b w:val="0"/>
          <w:bCs w:val="0"/>
          <w:sz w:val="28"/>
          <w:szCs w:val="28"/>
        </w:rPr>
        <w:t xml:space="preserve"> xác định rõ các loại thành viên tham gia. Việc phân loại thành viên theo chức năng kinh doanh, môi giới, bù trừ và thành viên đặc biệt giúp phân định vai trò, trách nhiệm, nghĩa vụ quản trị rủi ro và quyền lợi của từng nhóm. Thành viên kinh doanh được phép trực tiếp thực hiện giao dịch phái sinh cho chính mình hoặc cho khách hàng; thành viên môi giới chủ yếu thực hiện vai trò trung gian, tư vấn và đại diện cho nhà đầu tư; thành viên bù trừ chịu trách nhiệm bảo đảm an toàn thanh toán, quản lý ký quỹ và xử lý rủi ro mất khả năng thanh toán; còn thành viên đặc biệt có thể là các tổ chức tài chính lớn hoặc quỹ đầu tư được tham gia với cơ chế quản lý riêng biệt nhằm tăng thanh khoản và ổn định thị trường. Cơ chế phân loại này tạo sự chuyên môn hóa, đồng thời phù hợp với thông lệ quốc tế về tổ chức thị trường phái sinh.</w:t>
      </w:r>
    </w:p>
    <w:p w14:paraId="3F4194A2" w14:textId="77777777" w:rsidR="002C389D" w:rsidRPr="002C389D" w:rsidRDefault="002C389D" w:rsidP="002C389D">
      <w:pPr>
        <w:spacing w:before="120" w:after="120" w:line="240" w:lineRule="auto"/>
        <w:ind w:firstLine="720"/>
        <w:jc w:val="both"/>
        <w:rPr>
          <w:rStyle w:val="Strong"/>
          <w:rFonts w:ascii="Times New Roman" w:eastAsiaTheme="majorEastAsia" w:hAnsi="Times New Roman" w:cs="Times New Roman"/>
          <w:i/>
          <w:iCs/>
          <w:sz w:val="28"/>
          <w:szCs w:val="28"/>
        </w:rPr>
      </w:pPr>
      <w:r w:rsidRPr="002C389D">
        <w:rPr>
          <w:rStyle w:val="Strong"/>
          <w:rFonts w:ascii="Times New Roman" w:eastAsiaTheme="majorEastAsia" w:hAnsi="Times New Roman" w:cs="Times New Roman"/>
          <w:i/>
          <w:iCs/>
          <w:sz w:val="28"/>
          <w:szCs w:val="28"/>
        </w:rPr>
        <w:t>4.2. Phân loại nhà đầu tư</w:t>
      </w:r>
    </w:p>
    <w:p w14:paraId="7AFFCDA7" w14:textId="5575E018" w:rsidR="002C389D" w:rsidRPr="002C389D" w:rsidRDefault="009C2322" w:rsidP="002C389D">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Dự thảo Luật</w:t>
      </w:r>
      <w:r w:rsidR="002C389D" w:rsidRPr="002C389D">
        <w:rPr>
          <w:rStyle w:val="Strong"/>
          <w:rFonts w:ascii="Times New Roman" w:eastAsiaTheme="majorEastAsia" w:hAnsi="Times New Roman" w:cs="Times New Roman"/>
          <w:b w:val="0"/>
          <w:bCs w:val="0"/>
          <w:sz w:val="28"/>
          <w:szCs w:val="28"/>
        </w:rPr>
        <w:t xml:space="preserve"> quy định phân loại nhà đầu tư thành nhóm chuyên nghiệp và không chuyên nghiệp, đồng thời phân biệt nhà đầu tư trong nước và nước ngoài. </w:t>
      </w:r>
      <w:r w:rsidR="002C389D" w:rsidRPr="002C389D">
        <w:rPr>
          <w:rStyle w:val="Strong"/>
          <w:rFonts w:ascii="Times New Roman" w:eastAsiaTheme="majorEastAsia" w:hAnsi="Times New Roman" w:cs="Times New Roman"/>
          <w:b w:val="0"/>
          <w:bCs w:val="0"/>
          <w:sz w:val="28"/>
          <w:szCs w:val="28"/>
        </w:rPr>
        <w:lastRenderedPageBreak/>
        <w:t xml:space="preserve">Nhà đầu tư chuyên nghiệp, bao gồm các tổ chức tài chính, quỹ đầu tư, doanh nghiệp lớn hoặc cá nhân có trình độ, kinh nghiệm, được phép tham gia giao dịch với phạm vi rộng hơn, linh hoạt hơn và ít bị hạn chế về giới hạn vị thế. Ngược lại, nhà đầu tư không chuyên nghiệp cần được áp dụng cơ chế bảo vệ chặt chẽ hơn, như hạn chế về số lượng hợp đồng, nghĩa vụ ký quỹ cao hơn hoặc bắt buộc thông qua tư vấn của môi giới được cấp phép. Đối với nhà đầu tư nước ngoài, </w:t>
      </w:r>
      <w:r>
        <w:rPr>
          <w:rStyle w:val="Strong"/>
          <w:rFonts w:ascii="Times New Roman" w:eastAsiaTheme="majorEastAsia" w:hAnsi="Times New Roman" w:cs="Times New Roman"/>
          <w:b w:val="0"/>
          <w:bCs w:val="0"/>
          <w:sz w:val="28"/>
          <w:szCs w:val="28"/>
        </w:rPr>
        <w:t>Dự thảo Luật</w:t>
      </w:r>
      <w:r w:rsidR="002C389D" w:rsidRPr="002C389D">
        <w:rPr>
          <w:rStyle w:val="Strong"/>
          <w:rFonts w:ascii="Times New Roman" w:eastAsiaTheme="majorEastAsia" w:hAnsi="Times New Roman" w:cs="Times New Roman"/>
          <w:b w:val="0"/>
          <w:bCs w:val="0"/>
          <w:sz w:val="28"/>
          <w:szCs w:val="28"/>
        </w:rPr>
        <w:t xml:space="preserve"> quy định về điều kiện tham gia, chế độ quản lý ngoại hối, và nghĩa vụ tuân thủ pháp luật Việt Nam, vừa khuyến khích hội nhập quốc tế vừa bảo đảm an toàn hệ thống tài chính quốc gia.</w:t>
      </w:r>
    </w:p>
    <w:p w14:paraId="42816845" w14:textId="77777777" w:rsidR="002C389D" w:rsidRPr="009C2322" w:rsidRDefault="002C389D" w:rsidP="002C389D">
      <w:pPr>
        <w:spacing w:before="120" w:after="120" w:line="240" w:lineRule="auto"/>
        <w:ind w:firstLine="720"/>
        <w:jc w:val="both"/>
        <w:rPr>
          <w:rStyle w:val="Strong"/>
          <w:rFonts w:ascii="Times New Roman" w:eastAsiaTheme="majorEastAsia" w:hAnsi="Times New Roman" w:cs="Times New Roman"/>
          <w:i/>
          <w:iCs/>
          <w:sz w:val="28"/>
          <w:szCs w:val="28"/>
        </w:rPr>
      </w:pPr>
      <w:r w:rsidRPr="009C2322">
        <w:rPr>
          <w:rStyle w:val="Strong"/>
          <w:rFonts w:ascii="Times New Roman" w:eastAsiaTheme="majorEastAsia" w:hAnsi="Times New Roman" w:cs="Times New Roman"/>
          <w:i/>
          <w:iCs/>
          <w:sz w:val="28"/>
          <w:szCs w:val="28"/>
        </w:rPr>
        <w:t>4.3. Quy định quyền, nghĩa vụ, cơ chế ký quỹ, bù trừ, báo cáo định kỳ</w:t>
      </w:r>
    </w:p>
    <w:p w14:paraId="3AA64A68" w14:textId="5B78B39F" w:rsidR="002C389D" w:rsidRPr="002C389D" w:rsidRDefault="009C2322" w:rsidP="002C389D">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Dự thảo Luật</w:t>
      </w:r>
      <w:r w:rsidR="002C389D" w:rsidRPr="002C389D">
        <w:rPr>
          <w:rStyle w:val="Strong"/>
          <w:rFonts w:ascii="Times New Roman" w:eastAsiaTheme="majorEastAsia" w:hAnsi="Times New Roman" w:cs="Times New Roman"/>
          <w:b w:val="0"/>
          <w:bCs w:val="0"/>
          <w:sz w:val="28"/>
          <w:szCs w:val="28"/>
        </w:rPr>
        <w:t xml:space="preserve"> quy định khung quyền và nghĩa vụ cơ bản của các chủ thể tham gia thị trường, bao gồm quyền được tiếp cận thông tin, quyền thực hiện giao dịch, quyền yêu cầu bảo vệ khi xảy ra tranh chấp; đồng thời phải gắn với nghĩa vụ ký quỹ, tuân thủ các giới hạn vị thế, tham gia cơ chế thanh toán bù trừ và cung cấp thông tin định kỳ cho cơ quan quản lý. Cơ chế ký quỹ và bù trừ được coi là công cụ cốt lõi để quản lý rủi ro, bảo đảm rằng các giao dịch luôn có sự bảo lãnh tài chính, tránh nguy cơ đổ vỡ dây chuyền. Nghĩa vụ báo cáo định kỳ về tình hình giao dịch, rủi ro và tuân thủ của thành viên cũng là cơ sở để cơ quan quản lý giám sát kịp thời, phát hiện các dấu hiệu bất thường, từ đó bảo đảm an toàn cho thị trường.</w:t>
      </w:r>
    </w:p>
    <w:p w14:paraId="1881433D" w14:textId="77777777" w:rsidR="002C389D" w:rsidRPr="002C389D" w:rsidRDefault="002C389D" w:rsidP="002C389D">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9C2322">
        <w:rPr>
          <w:rStyle w:val="Strong"/>
          <w:rFonts w:ascii="Times New Roman" w:eastAsiaTheme="majorEastAsia" w:hAnsi="Times New Roman" w:cs="Times New Roman"/>
          <w:i/>
          <w:iCs/>
          <w:sz w:val="28"/>
          <w:szCs w:val="28"/>
        </w:rPr>
        <w:t>4.4. Quy định về cấp, quản lý, thu hồi chứng chỉ hành nghề; tiêu chuẩn trình độ, đạo đức và nghĩa vụ đào tạo định kỳ</w:t>
      </w:r>
    </w:p>
    <w:p w14:paraId="073DE14E" w14:textId="77777777" w:rsidR="00E77C86" w:rsidRDefault="002C389D" w:rsidP="002C389D">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9C2322">
        <w:rPr>
          <w:rStyle w:val="Strong"/>
          <w:rFonts w:ascii="Times New Roman" w:eastAsiaTheme="majorEastAsia" w:hAnsi="Times New Roman" w:cs="Times New Roman"/>
          <w:b w:val="0"/>
          <w:bCs w:val="0"/>
          <w:sz w:val="28"/>
          <w:szCs w:val="28"/>
        </w:rPr>
        <w:t xml:space="preserve">Để bảo đảm đội ngũ nhân sự tham gia thị trường có năng lực và đạo đức nghề nghiệp, </w:t>
      </w:r>
      <w:r w:rsidR="009C2322">
        <w:rPr>
          <w:rStyle w:val="Strong"/>
          <w:rFonts w:ascii="Times New Roman" w:eastAsiaTheme="majorEastAsia" w:hAnsi="Times New Roman" w:cs="Times New Roman"/>
          <w:b w:val="0"/>
          <w:bCs w:val="0"/>
          <w:sz w:val="28"/>
          <w:szCs w:val="28"/>
        </w:rPr>
        <w:t xml:space="preserve">dự thảo </w:t>
      </w:r>
      <w:r w:rsidRPr="009C2322">
        <w:rPr>
          <w:rStyle w:val="Strong"/>
          <w:rFonts w:ascii="Times New Roman" w:eastAsiaTheme="majorEastAsia" w:hAnsi="Times New Roman" w:cs="Times New Roman"/>
          <w:b w:val="0"/>
          <w:bCs w:val="0"/>
          <w:sz w:val="28"/>
          <w:szCs w:val="28"/>
        </w:rPr>
        <w:t xml:space="preserve">Luật </w:t>
      </w:r>
      <w:r w:rsidR="00E77C86">
        <w:rPr>
          <w:rStyle w:val="Strong"/>
          <w:rFonts w:ascii="Times New Roman" w:eastAsiaTheme="majorEastAsia" w:hAnsi="Times New Roman" w:cs="Times New Roman"/>
          <w:b w:val="0"/>
          <w:bCs w:val="0"/>
          <w:sz w:val="28"/>
          <w:szCs w:val="28"/>
        </w:rPr>
        <w:t>quy định</w:t>
      </w:r>
      <w:r w:rsidRPr="009C2322">
        <w:rPr>
          <w:rStyle w:val="Strong"/>
          <w:rFonts w:ascii="Times New Roman" w:eastAsiaTheme="majorEastAsia" w:hAnsi="Times New Roman" w:cs="Times New Roman"/>
          <w:b w:val="0"/>
          <w:bCs w:val="0"/>
          <w:sz w:val="28"/>
          <w:szCs w:val="28"/>
        </w:rPr>
        <w:t xml:space="preserve"> cơ chế quản lý chặt chẽ chứng chỉ hành nghề đối với môi giới, tư vấn và nhân sự quản lý chủ chốt. Việc cấp chứng chỉ phải gắn với các tiêu chuẩn về trình độ học vấn, kiến thức chuyên môn, kinh nghiệm thực tiễn và đạo đức nghề nghiệp.</w:t>
      </w:r>
    </w:p>
    <w:p w14:paraId="758CA3DD" w14:textId="67BF72AD" w:rsidR="00EF7BB6" w:rsidRDefault="002C389D" w:rsidP="002C389D">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9C2322">
        <w:rPr>
          <w:rStyle w:val="Strong"/>
          <w:rFonts w:ascii="Times New Roman" w:eastAsiaTheme="majorEastAsia" w:hAnsi="Times New Roman" w:cs="Times New Roman"/>
          <w:b w:val="0"/>
          <w:bCs w:val="0"/>
          <w:sz w:val="28"/>
          <w:szCs w:val="28"/>
        </w:rPr>
        <w:t xml:space="preserve">Bên cạnh đó, </w:t>
      </w:r>
      <w:r w:rsidR="00E77C86">
        <w:rPr>
          <w:rStyle w:val="Strong"/>
          <w:rFonts w:ascii="Times New Roman" w:eastAsiaTheme="majorEastAsia" w:hAnsi="Times New Roman" w:cs="Times New Roman"/>
          <w:b w:val="0"/>
          <w:bCs w:val="0"/>
          <w:sz w:val="28"/>
          <w:szCs w:val="28"/>
        </w:rPr>
        <w:t>dự thảo Luật cũng</w:t>
      </w:r>
      <w:r w:rsidRPr="009C2322">
        <w:rPr>
          <w:rStyle w:val="Strong"/>
          <w:rFonts w:ascii="Times New Roman" w:eastAsiaTheme="majorEastAsia" w:hAnsi="Times New Roman" w:cs="Times New Roman"/>
          <w:b w:val="0"/>
          <w:bCs w:val="0"/>
          <w:sz w:val="28"/>
          <w:szCs w:val="28"/>
        </w:rPr>
        <w:t xml:space="preserve"> quy định nghĩa vụ đào tạo định kỳ để cập nhật kiến thức, kỹ năng và chuẩn mực quốc tế, bảo đảm sự chuyên nghiệp và thích ứng với sự phát triển nhanh chóng của thị trường. Cơ quan quản lý hoặc tổ chức xã hội – nghề nghiệp được ủy quyền sẽ có trách nhiệm giám sát việc cấp, quản lý và thu hồi chứng chỉ khi phát hiện vi phạm, bảo đảm tính nghiêm minh và liêm chính của thị trường.</w:t>
      </w:r>
    </w:p>
    <w:p w14:paraId="58FB4EAB" w14:textId="151EE914" w:rsidR="00044E8E" w:rsidRPr="001709B6" w:rsidRDefault="001709B6" w:rsidP="00044E8E">
      <w:pPr>
        <w:spacing w:before="120" w:after="120" w:line="240" w:lineRule="auto"/>
        <w:ind w:firstLine="720"/>
        <w:jc w:val="both"/>
        <w:rPr>
          <w:rStyle w:val="Strong"/>
          <w:rFonts w:ascii="Times New Roman" w:eastAsiaTheme="majorEastAsia" w:hAnsi="Times New Roman" w:cs="Times New Roman"/>
          <w:sz w:val="28"/>
          <w:szCs w:val="28"/>
        </w:rPr>
      </w:pPr>
      <w:r>
        <w:rPr>
          <w:rStyle w:val="Strong"/>
          <w:rFonts w:ascii="Times New Roman" w:eastAsiaTheme="majorEastAsia" w:hAnsi="Times New Roman" w:cs="Times New Roman"/>
          <w:sz w:val="28"/>
          <w:szCs w:val="28"/>
        </w:rPr>
        <w:t xml:space="preserve">5. </w:t>
      </w:r>
      <w:r w:rsidR="00044E8E" w:rsidRPr="001709B6">
        <w:rPr>
          <w:rStyle w:val="Strong"/>
          <w:rFonts w:ascii="Times New Roman" w:eastAsiaTheme="majorEastAsia" w:hAnsi="Times New Roman" w:cs="Times New Roman"/>
          <w:sz w:val="28"/>
          <w:szCs w:val="28"/>
        </w:rPr>
        <w:t>Chính sách 5: Quy phạm hóa sản phẩm phái sinh, danh mục tài sản cơ sở và quy tắc vận hành thị trường</w:t>
      </w:r>
    </w:p>
    <w:p w14:paraId="3C05D0C9" w14:textId="77777777" w:rsidR="00044E8E" w:rsidRPr="001709B6" w:rsidRDefault="00044E8E" w:rsidP="00044E8E">
      <w:pPr>
        <w:spacing w:before="120" w:after="120" w:line="240" w:lineRule="auto"/>
        <w:ind w:firstLine="720"/>
        <w:jc w:val="both"/>
        <w:rPr>
          <w:rStyle w:val="Strong"/>
          <w:rFonts w:ascii="Times New Roman" w:eastAsiaTheme="majorEastAsia" w:hAnsi="Times New Roman" w:cs="Times New Roman"/>
          <w:i/>
          <w:iCs/>
          <w:sz w:val="28"/>
          <w:szCs w:val="28"/>
        </w:rPr>
      </w:pPr>
      <w:r w:rsidRPr="001709B6">
        <w:rPr>
          <w:rStyle w:val="Strong"/>
          <w:rFonts w:ascii="Times New Roman" w:eastAsiaTheme="majorEastAsia" w:hAnsi="Times New Roman" w:cs="Times New Roman"/>
          <w:i/>
          <w:iCs/>
          <w:sz w:val="28"/>
          <w:szCs w:val="28"/>
        </w:rPr>
        <w:t>5.1. Quy định danh mục hàng hóa cơ sở và loại hợp đồng phái sinh</w:t>
      </w:r>
    </w:p>
    <w:p w14:paraId="66DB0FB5" w14:textId="77777777" w:rsidR="001709B6" w:rsidRDefault="001709B6"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Dự thảo Luật quy định</w:t>
      </w:r>
      <w:r w:rsidR="00044E8E" w:rsidRPr="00044E8E">
        <w:rPr>
          <w:rStyle w:val="Strong"/>
          <w:rFonts w:ascii="Times New Roman" w:eastAsiaTheme="majorEastAsia" w:hAnsi="Times New Roman" w:cs="Times New Roman"/>
          <w:b w:val="0"/>
          <w:bCs w:val="0"/>
          <w:sz w:val="28"/>
          <w:szCs w:val="28"/>
        </w:rPr>
        <w:t xml:space="preserve"> danh mục hàng hóa cơ sở được phép sử dụng để hình thành hợp đồng phái sinh, tập trung vào những mặt hàng chủ lực, có thanh khoản cao và đóng vai trò quan trọng trong sản xuất, tiêu dùng, xuất nhập khẩu của Việt Nam, như nông sản, năng lượng, kim loại, nguyên liệu công nghiệp. </w:t>
      </w:r>
    </w:p>
    <w:p w14:paraId="747DFFD1" w14:textId="5A8A0079" w:rsidR="00044E8E" w:rsidRPr="00044E8E" w:rsidRDefault="00044E8E"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044E8E">
        <w:rPr>
          <w:rStyle w:val="Strong"/>
          <w:rFonts w:ascii="Times New Roman" w:eastAsiaTheme="majorEastAsia" w:hAnsi="Times New Roman" w:cs="Times New Roman"/>
          <w:b w:val="0"/>
          <w:bCs w:val="0"/>
          <w:sz w:val="28"/>
          <w:szCs w:val="28"/>
        </w:rPr>
        <w:lastRenderedPageBreak/>
        <w:t xml:space="preserve">Về loại hợp đồng, </w:t>
      </w:r>
      <w:r w:rsidR="001709B6">
        <w:rPr>
          <w:rStyle w:val="Strong"/>
          <w:rFonts w:ascii="Times New Roman" w:eastAsiaTheme="majorEastAsia" w:hAnsi="Times New Roman" w:cs="Times New Roman"/>
          <w:b w:val="0"/>
          <w:bCs w:val="0"/>
          <w:sz w:val="28"/>
          <w:szCs w:val="28"/>
        </w:rPr>
        <w:t>dự thảo Luật quy định</w:t>
      </w:r>
      <w:r w:rsidRPr="00044E8E">
        <w:rPr>
          <w:rStyle w:val="Strong"/>
          <w:rFonts w:ascii="Times New Roman" w:eastAsiaTheme="majorEastAsia" w:hAnsi="Times New Roman" w:cs="Times New Roman"/>
          <w:b w:val="0"/>
          <w:bCs w:val="0"/>
          <w:sz w:val="28"/>
          <w:szCs w:val="28"/>
        </w:rPr>
        <w:t xml:space="preserve"> các sản phẩm phái sinh cơ bản theo thông lệ quốc tế, bao gồm hợp đồng tương lai (futures), quyền chọn (options) và hoán đổi (swaps)</w:t>
      </w:r>
      <w:r w:rsidR="008D583C">
        <w:rPr>
          <w:rStyle w:val="Strong"/>
          <w:rFonts w:ascii="Times New Roman" w:eastAsiaTheme="majorEastAsia" w:hAnsi="Times New Roman" w:cs="Times New Roman"/>
          <w:b w:val="0"/>
          <w:bCs w:val="0"/>
          <w:sz w:val="28"/>
          <w:szCs w:val="28"/>
        </w:rPr>
        <w:t xml:space="preserve">. </w:t>
      </w:r>
      <w:r w:rsidRPr="00044E8E">
        <w:rPr>
          <w:rStyle w:val="Strong"/>
          <w:rFonts w:ascii="Times New Roman" w:eastAsiaTheme="majorEastAsia" w:hAnsi="Times New Roman" w:cs="Times New Roman"/>
          <w:b w:val="0"/>
          <w:bCs w:val="0"/>
          <w:sz w:val="28"/>
          <w:szCs w:val="28"/>
        </w:rPr>
        <w:t>Chính phủ quy định bổ sung sản phẩm mới khi thị trường phát triển. Việc quy phạm hóa các loại hợp đồng sẽ giúp tạo nền tảng pháp lý đồng bộ, tăng tính hấp dẫn của thị trường và thu hút sự tham gia của cả nhà đầu tư trong nước lẫn quốc tế.</w:t>
      </w:r>
    </w:p>
    <w:p w14:paraId="20CBEDA3" w14:textId="77777777" w:rsidR="00044E8E" w:rsidRPr="001709B6" w:rsidRDefault="00044E8E" w:rsidP="00044E8E">
      <w:pPr>
        <w:spacing w:before="120" w:after="120" w:line="240" w:lineRule="auto"/>
        <w:ind w:firstLine="720"/>
        <w:jc w:val="both"/>
        <w:rPr>
          <w:rStyle w:val="Strong"/>
          <w:rFonts w:ascii="Times New Roman" w:eastAsiaTheme="majorEastAsia" w:hAnsi="Times New Roman" w:cs="Times New Roman"/>
          <w:i/>
          <w:iCs/>
          <w:sz w:val="28"/>
          <w:szCs w:val="28"/>
        </w:rPr>
      </w:pPr>
      <w:r w:rsidRPr="001709B6">
        <w:rPr>
          <w:rStyle w:val="Strong"/>
          <w:rFonts w:ascii="Times New Roman" w:eastAsiaTheme="majorEastAsia" w:hAnsi="Times New Roman" w:cs="Times New Roman"/>
          <w:i/>
          <w:iCs/>
          <w:sz w:val="28"/>
          <w:szCs w:val="28"/>
        </w:rPr>
        <w:t>5.2. Quy định điều kiện niêm yết và hủy niêm yết hợp đồng phái sinh</w:t>
      </w:r>
    </w:p>
    <w:p w14:paraId="7AD4EFFA" w14:textId="77777777" w:rsidR="008D583C" w:rsidRDefault="008D583C"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Dự thảo Luật</w:t>
      </w:r>
      <w:r w:rsidR="00044E8E" w:rsidRPr="00044E8E">
        <w:rPr>
          <w:rStyle w:val="Strong"/>
          <w:rFonts w:ascii="Times New Roman" w:eastAsiaTheme="majorEastAsia" w:hAnsi="Times New Roman" w:cs="Times New Roman"/>
          <w:b w:val="0"/>
          <w:bCs w:val="0"/>
          <w:sz w:val="28"/>
          <w:szCs w:val="28"/>
        </w:rPr>
        <w:t xml:space="preserve"> quy định rõ các điều kiện niêm yết hợp đồng phái sinh, bao gồm tính minh bạch về thông tin, tính chuẩn hóa của hợp đồng, tính thanh khoản và khả năng quản trị rủi ro. Hợp đồng chỉ được phép niêm yết trên S</w:t>
      </w:r>
      <w:r>
        <w:rPr>
          <w:rStyle w:val="Strong"/>
          <w:rFonts w:ascii="Times New Roman" w:eastAsiaTheme="majorEastAsia" w:hAnsi="Times New Roman" w:cs="Times New Roman"/>
          <w:b w:val="0"/>
          <w:bCs w:val="0"/>
          <w:sz w:val="28"/>
          <w:szCs w:val="28"/>
        </w:rPr>
        <w:t xml:space="preserve">ở </w:t>
      </w:r>
      <w:r w:rsidR="00044E8E" w:rsidRPr="00044E8E">
        <w:rPr>
          <w:rStyle w:val="Strong"/>
          <w:rFonts w:ascii="Times New Roman" w:eastAsiaTheme="majorEastAsia" w:hAnsi="Times New Roman" w:cs="Times New Roman"/>
          <w:b w:val="0"/>
          <w:bCs w:val="0"/>
          <w:sz w:val="28"/>
          <w:szCs w:val="28"/>
        </w:rPr>
        <w:t>GDHHPS khi đáp ứng đầy đủ yêu cầu về tài sản cơ sở, cơ chế ký quỹ và thanh toán bù trừ.</w:t>
      </w:r>
    </w:p>
    <w:p w14:paraId="1F11E397" w14:textId="4EEA41CD" w:rsidR="00044E8E" w:rsidRPr="008D583C" w:rsidRDefault="00044E8E"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044E8E">
        <w:rPr>
          <w:rStyle w:val="Strong"/>
          <w:rFonts w:ascii="Times New Roman" w:eastAsiaTheme="majorEastAsia" w:hAnsi="Times New Roman" w:cs="Times New Roman"/>
          <w:b w:val="0"/>
          <w:bCs w:val="0"/>
          <w:sz w:val="28"/>
          <w:szCs w:val="28"/>
        </w:rPr>
        <w:t xml:space="preserve">Bên cạnh đó, </w:t>
      </w:r>
      <w:r w:rsidR="008D583C">
        <w:rPr>
          <w:rStyle w:val="Strong"/>
          <w:rFonts w:ascii="Times New Roman" w:eastAsiaTheme="majorEastAsia" w:hAnsi="Times New Roman" w:cs="Times New Roman"/>
          <w:b w:val="0"/>
          <w:bCs w:val="0"/>
          <w:sz w:val="28"/>
          <w:szCs w:val="28"/>
        </w:rPr>
        <w:t xml:space="preserve">dự thảo </w:t>
      </w:r>
      <w:r w:rsidRPr="00044E8E">
        <w:rPr>
          <w:rStyle w:val="Strong"/>
          <w:rFonts w:ascii="Times New Roman" w:eastAsiaTheme="majorEastAsia" w:hAnsi="Times New Roman" w:cs="Times New Roman"/>
          <w:b w:val="0"/>
          <w:bCs w:val="0"/>
          <w:sz w:val="28"/>
          <w:szCs w:val="28"/>
        </w:rPr>
        <w:t xml:space="preserve">Luật cũng </w:t>
      </w:r>
      <w:r w:rsidR="008D583C">
        <w:rPr>
          <w:rStyle w:val="Strong"/>
          <w:rFonts w:ascii="Times New Roman" w:eastAsiaTheme="majorEastAsia" w:hAnsi="Times New Roman" w:cs="Times New Roman"/>
          <w:b w:val="0"/>
          <w:bCs w:val="0"/>
          <w:sz w:val="28"/>
          <w:szCs w:val="28"/>
        </w:rPr>
        <w:t>quy định về</w:t>
      </w:r>
      <w:r w:rsidRPr="00044E8E">
        <w:rPr>
          <w:rStyle w:val="Strong"/>
          <w:rFonts w:ascii="Times New Roman" w:eastAsiaTheme="majorEastAsia" w:hAnsi="Times New Roman" w:cs="Times New Roman"/>
          <w:b w:val="0"/>
          <w:bCs w:val="0"/>
          <w:sz w:val="28"/>
          <w:szCs w:val="28"/>
        </w:rPr>
        <w:t xml:space="preserve"> cơ chế hủy niêm yết trong trường hợp sản phẩm không còn đáp ứng yêu cầu về thanh khoản, phát sinh rủi ro bất thường hoặc vi phạm các chuẩn mực pháp lý. Việc quy định khung điều kiện niêm yết và hủy niêm yết tại Luật, còn chi tiết về tiêu chí kỹ thuật giao Chính phủ hoặc Ủy ban Giao dịch hàng hóa phái </w:t>
      </w:r>
      <w:r w:rsidRPr="008D583C">
        <w:rPr>
          <w:rStyle w:val="Strong"/>
          <w:rFonts w:ascii="Times New Roman" w:eastAsiaTheme="majorEastAsia" w:hAnsi="Times New Roman" w:cs="Times New Roman"/>
          <w:b w:val="0"/>
          <w:bCs w:val="0"/>
          <w:sz w:val="28"/>
          <w:szCs w:val="28"/>
        </w:rPr>
        <w:t>sinh hướng dẫn, sẽ bảo đảm sự minh bạch và linh hoạt trong quản lý</w:t>
      </w:r>
    </w:p>
    <w:p w14:paraId="0C54E2DD" w14:textId="77777777" w:rsidR="00044E8E" w:rsidRPr="008D583C" w:rsidRDefault="00044E8E" w:rsidP="00044E8E">
      <w:pPr>
        <w:spacing w:before="120" w:after="120" w:line="240" w:lineRule="auto"/>
        <w:ind w:firstLine="720"/>
        <w:jc w:val="both"/>
        <w:rPr>
          <w:rStyle w:val="Strong"/>
          <w:rFonts w:ascii="Times New Roman" w:eastAsiaTheme="majorEastAsia" w:hAnsi="Times New Roman" w:cs="Times New Roman"/>
          <w:i/>
          <w:iCs/>
          <w:sz w:val="28"/>
          <w:szCs w:val="28"/>
        </w:rPr>
      </w:pPr>
      <w:r w:rsidRPr="008D583C">
        <w:rPr>
          <w:rStyle w:val="Strong"/>
          <w:rFonts w:ascii="Times New Roman" w:eastAsiaTheme="majorEastAsia" w:hAnsi="Times New Roman" w:cs="Times New Roman"/>
          <w:i/>
          <w:iCs/>
          <w:sz w:val="28"/>
          <w:szCs w:val="28"/>
        </w:rPr>
        <w:t>5.3. Quy định nguyên tắc giao dịch, khớp lệnh, giới hạn vị thế và cơ chế bình ổn</w:t>
      </w:r>
    </w:p>
    <w:p w14:paraId="139CB4E8" w14:textId="77777777" w:rsidR="00EA210D" w:rsidRDefault="00044E8E"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8D583C">
        <w:rPr>
          <w:rStyle w:val="Strong"/>
          <w:rFonts w:ascii="Times New Roman" w:eastAsiaTheme="majorEastAsia" w:hAnsi="Times New Roman" w:cs="Times New Roman"/>
          <w:b w:val="0"/>
          <w:bCs w:val="0"/>
          <w:sz w:val="28"/>
          <w:szCs w:val="28"/>
        </w:rPr>
        <w:t xml:space="preserve">Để bảo đảm thị trường vận hành minh bạch và hạn chế rủi ro thao túng, </w:t>
      </w:r>
      <w:r w:rsidR="00EA210D">
        <w:rPr>
          <w:rStyle w:val="Strong"/>
          <w:rFonts w:ascii="Times New Roman" w:eastAsiaTheme="majorEastAsia" w:hAnsi="Times New Roman" w:cs="Times New Roman"/>
          <w:b w:val="0"/>
          <w:bCs w:val="0"/>
          <w:sz w:val="28"/>
          <w:szCs w:val="28"/>
        </w:rPr>
        <w:t>dự thảo Luật quy định các</w:t>
      </w:r>
      <w:r w:rsidRPr="008D583C">
        <w:rPr>
          <w:rStyle w:val="Strong"/>
          <w:rFonts w:ascii="Times New Roman" w:eastAsiaTheme="majorEastAsia" w:hAnsi="Times New Roman" w:cs="Times New Roman"/>
          <w:b w:val="0"/>
          <w:bCs w:val="0"/>
          <w:sz w:val="28"/>
          <w:szCs w:val="28"/>
        </w:rPr>
        <w:t xml:space="preserve"> nguyên tắc cơ bản về giao dịch và khớp lệnh, bảo đảm công bằng giữa các bên tham gia. Quy định về giới hạn vị thế sẽ được thiết lập để ngăn ngừa việc tập trung quyền kiểm soát quá mức vào một số nhà đầu tư hoặc tổ chức, hạn chế nguy cơ thao túng giá. Ngoài ra, cơ chế bình ổn thị trường, như biên độ dao động giá, ngưỡng ngắt mạch giao dịch (circuit breaker) hoặc tạm ngừng giao dịch trong tình huống biến động bất thường, cũng cần được quy định để bảo đảm an toàn hệ thống.</w:t>
      </w:r>
    </w:p>
    <w:p w14:paraId="3E4ED548" w14:textId="3C61EBB8" w:rsidR="00044E8E" w:rsidRPr="008D583C" w:rsidRDefault="00044E8E"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8D583C">
        <w:rPr>
          <w:rStyle w:val="Strong"/>
          <w:rFonts w:ascii="Times New Roman" w:eastAsiaTheme="majorEastAsia" w:hAnsi="Times New Roman" w:cs="Times New Roman"/>
          <w:b w:val="0"/>
          <w:bCs w:val="0"/>
          <w:sz w:val="28"/>
          <w:szCs w:val="28"/>
        </w:rPr>
        <w:t>Các nguyên tắc này sẽ được quy phạm hóa ở cấp Luật, còn phương thức kỹ thuật chi tiết do S</w:t>
      </w:r>
      <w:r w:rsidR="008D583C">
        <w:rPr>
          <w:rStyle w:val="Strong"/>
          <w:rFonts w:ascii="Times New Roman" w:eastAsiaTheme="majorEastAsia" w:hAnsi="Times New Roman" w:cs="Times New Roman"/>
          <w:b w:val="0"/>
          <w:bCs w:val="0"/>
          <w:sz w:val="28"/>
          <w:szCs w:val="28"/>
        </w:rPr>
        <w:t xml:space="preserve">ở </w:t>
      </w:r>
      <w:r w:rsidRPr="008D583C">
        <w:rPr>
          <w:rStyle w:val="Strong"/>
          <w:rFonts w:ascii="Times New Roman" w:eastAsiaTheme="majorEastAsia" w:hAnsi="Times New Roman" w:cs="Times New Roman"/>
          <w:b w:val="0"/>
          <w:bCs w:val="0"/>
          <w:sz w:val="28"/>
          <w:szCs w:val="28"/>
        </w:rPr>
        <w:t>GDHHPS ban hành trong Quy chế giao dịch dưới sự giám sát của cơ quan quản lý chuyên ngành.</w:t>
      </w:r>
    </w:p>
    <w:p w14:paraId="7158FBED" w14:textId="77777777" w:rsidR="00044E8E" w:rsidRPr="008D583C" w:rsidRDefault="00044E8E" w:rsidP="00044E8E">
      <w:pPr>
        <w:spacing w:before="120" w:after="120" w:line="240" w:lineRule="auto"/>
        <w:ind w:firstLine="720"/>
        <w:jc w:val="both"/>
        <w:rPr>
          <w:rStyle w:val="Strong"/>
          <w:rFonts w:ascii="Times New Roman" w:eastAsiaTheme="majorEastAsia" w:hAnsi="Times New Roman" w:cs="Times New Roman"/>
          <w:i/>
          <w:iCs/>
          <w:sz w:val="28"/>
          <w:szCs w:val="28"/>
        </w:rPr>
      </w:pPr>
      <w:r w:rsidRPr="008D583C">
        <w:rPr>
          <w:rStyle w:val="Strong"/>
          <w:rFonts w:ascii="Times New Roman" w:eastAsiaTheme="majorEastAsia" w:hAnsi="Times New Roman" w:cs="Times New Roman"/>
          <w:i/>
          <w:iCs/>
          <w:sz w:val="28"/>
          <w:szCs w:val="28"/>
        </w:rPr>
        <w:t>5.4. Quy định cơ chế phòng ngừa rủi ro, bảo vệ nhà đầu tư và bảo đảm an toàn hệ thống</w:t>
      </w:r>
    </w:p>
    <w:p w14:paraId="369F5614" w14:textId="424FD077" w:rsidR="00044E8E" w:rsidRDefault="00044E8E" w:rsidP="00044E8E">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8D583C">
        <w:rPr>
          <w:rStyle w:val="Strong"/>
          <w:rFonts w:ascii="Times New Roman" w:eastAsiaTheme="majorEastAsia" w:hAnsi="Times New Roman" w:cs="Times New Roman"/>
          <w:b w:val="0"/>
          <w:bCs w:val="0"/>
          <w:sz w:val="28"/>
          <w:szCs w:val="28"/>
        </w:rPr>
        <w:t xml:space="preserve">Hoạt động giao dịch hàng hóa phái sinh tiềm ẩn rủi ro cao, do đó Luật cần thiết lập các cơ chế phòng ngừa và kiểm soát rủi ro để bảo đảm sự ổn định của hệ thống và quyền lợi của nhà đầu tư. Trước hết, cơ chế ký quỹ và thanh toán bù trừ </w:t>
      </w:r>
      <w:r w:rsidR="00EA210D">
        <w:rPr>
          <w:rStyle w:val="Strong"/>
          <w:rFonts w:ascii="Times New Roman" w:eastAsiaTheme="majorEastAsia" w:hAnsi="Times New Roman" w:cs="Times New Roman"/>
          <w:b w:val="0"/>
          <w:bCs w:val="0"/>
          <w:sz w:val="28"/>
          <w:szCs w:val="28"/>
        </w:rPr>
        <w:t xml:space="preserve">nhằm </w:t>
      </w:r>
      <w:r w:rsidRPr="008D583C">
        <w:rPr>
          <w:rStyle w:val="Strong"/>
          <w:rFonts w:ascii="Times New Roman" w:eastAsiaTheme="majorEastAsia" w:hAnsi="Times New Roman" w:cs="Times New Roman"/>
          <w:b w:val="0"/>
          <w:bCs w:val="0"/>
          <w:sz w:val="28"/>
          <w:szCs w:val="28"/>
        </w:rPr>
        <w:t xml:space="preserve">bảo đảm mọi giao dịch đều có tài sản đảm bảo và không gây rủi ro dây chuyền khi một bên mất khả năng thanh toán. Bên cạnh đó, </w:t>
      </w:r>
      <w:r w:rsidR="00EA210D">
        <w:rPr>
          <w:rStyle w:val="Strong"/>
          <w:rFonts w:ascii="Times New Roman" w:eastAsiaTheme="majorEastAsia" w:hAnsi="Times New Roman" w:cs="Times New Roman"/>
          <w:b w:val="0"/>
          <w:bCs w:val="0"/>
          <w:sz w:val="28"/>
          <w:szCs w:val="28"/>
        </w:rPr>
        <w:t>dự thảo Luật</w:t>
      </w:r>
      <w:r w:rsidRPr="008D583C">
        <w:rPr>
          <w:rStyle w:val="Strong"/>
          <w:rFonts w:ascii="Times New Roman" w:eastAsiaTheme="majorEastAsia" w:hAnsi="Times New Roman" w:cs="Times New Roman"/>
          <w:b w:val="0"/>
          <w:bCs w:val="0"/>
          <w:sz w:val="28"/>
          <w:szCs w:val="28"/>
        </w:rPr>
        <w:t xml:space="preserve"> quy định nghĩa vụ tách bạch tài sản của khách hàng và thành viên, cũng như cơ chế xử lý khi thành viên vi phạm, để bảo đảm an toàn cho tiền và tài sản ký quỹ. Nhà đầu tư, đặc biệt là nhà đầu tư không chuyên nghiệp, cần được bảo vệ thông qua các yêu cầu công bố thông tin đầy đủ, nghĩa vụ tư vấn rủi ro của môi giới, và cơ chế giải quyết tranh chấp minh bạch, nhanh chóng. Ngoài ra, để phòng ngừa rủi ro hệ </w:t>
      </w:r>
      <w:r w:rsidRPr="008D583C">
        <w:rPr>
          <w:rStyle w:val="Strong"/>
          <w:rFonts w:ascii="Times New Roman" w:eastAsiaTheme="majorEastAsia" w:hAnsi="Times New Roman" w:cs="Times New Roman"/>
          <w:b w:val="0"/>
          <w:bCs w:val="0"/>
          <w:sz w:val="28"/>
          <w:szCs w:val="28"/>
        </w:rPr>
        <w:lastRenderedPageBreak/>
        <w:t>thống, S</w:t>
      </w:r>
      <w:r w:rsidR="00EA210D">
        <w:rPr>
          <w:rStyle w:val="Strong"/>
          <w:rFonts w:ascii="Times New Roman" w:eastAsiaTheme="majorEastAsia" w:hAnsi="Times New Roman" w:cs="Times New Roman"/>
          <w:b w:val="0"/>
          <w:bCs w:val="0"/>
          <w:sz w:val="28"/>
          <w:szCs w:val="28"/>
        </w:rPr>
        <w:t xml:space="preserve">ở </w:t>
      </w:r>
      <w:r w:rsidRPr="008D583C">
        <w:rPr>
          <w:rStyle w:val="Strong"/>
          <w:rFonts w:ascii="Times New Roman" w:eastAsiaTheme="majorEastAsia" w:hAnsi="Times New Roman" w:cs="Times New Roman"/>
          <w:b w:val="0"/>
          <w:bCs w:val="0"/>
          <w:sz w:val="28"/>
          <w:szCs w:val="28"/>
        </w:rPr>
        <w:t>GDHHPS và CCP phải duy trì các quỹ dự phòng, hệ thống cảnh báo sớm và kịch bản ứng phó khẩn cấp. Quy định này vừa bảo đảm sự phát triển bền vững của thị trường, vừa củng cố niềm tin của nhà đầu tư và nâng cao uy tín của thị trường Việt Nam trong tiến trình hội nhập quốc tế.</w:t>
      </w:r>
    </w:p>
    <w:p w14:paraId="1BF18BD0" w14:textId="56EB6706" w:rsidR="001140E8" w:rsidRPr="001140E8" w:rsidRDefault="001140E8" w:rsidP="001140E8">
      <w:pPr>
        <w:spacing w:before="120" w:after="120" w:line="240" w:lineRule="auto"/>
        <w:ind w:firstLine="720"/>
        <w:jc w:val="both"/>
        <w:rPr>
          <w:rStyle w:val="Strong"/>
          <w:rFonts w:ascii="Times New Roman" w:eastAsiaTheme="majorEastAsia" w:hAnsi="Times New Roman" w:cs="Times New Roman"/>
          <w:sz w:val="28"/>
          <w:szCs w:val="28"/>
        </w:rPr>
      </w:pPr>
      <w:r w:rsidRPr="001140E8">
        <w:rPr>
          <w:rStyle w:val="Strong"/>
          <w:rFonts w:ascii="Times New Roman" w:eastAsiaTheme="majorEastAsia" w:hAnsi="Times New Roman" w:cs="Times New Roman"/>
          <w:sz w:val="28"/>
          <w:szCs w:val="28"/>
        </w:rPr>
        <w:t>6. Chính sách 6: Quy định về thanh toán bù trừ (CCP), lưu ký &amp; giao nhận hàng hóa, dịch vụ hỗ trợ</w:t>
      </w:r>
    </w:p>
    <w:p w14:paraId="1C8D5B1E" w14:textId="77777777" w:rsidR="001140E8" w:rsidRPr="001140E8" w:rsidRDefault="001140E8" w:rsidP="001140E8">
      <w:pPr>
        <w:spacing w:before="120" w:after="120" w:line="240" w:lineRule="auto"/>
        <w:ind w:firstLine="720"/>
        <w:jc w:val="both"/>
        <w:rPr>
          <w:rStyle w:val="Strong"/>
          <w:rFonts w:ascii="Times New Roman" w:eastAsiaTheme="majorEastAsia" w:hAnsi="Times New Roman" w:cs="Times New Roman"/>
          <w:i/>
          <w:iCs/>
          <w:sz w:val="28"/>
          <w:szCs w:val="28"/>
        </w:rPr>
      </w:pPr>
      <w:r w:rsidRPr="001140E8">
        <w:rPr>
          <w:rStyle w:val="Strong"/>
          <w:rFonts w:ascii="Times New Roman" w:eastAsiaTheme="majorEastAsia" w:hAnsi="Times New Roman" w:cs="Times New Roman"/>
          <w:i/>
          <w:iCs/>
          <w:sz w:val="28"/>
          <w:szCs w:val="28"/>
        </w:rPr>
        <w:t>6.1. Quy định tổ chức thanh toán bù trừ (CCP), quản lý ký quỹ, quỹ dự phòng</w:t>
      </w:r>
    </w:p>
    <w:p w14:paraId="5CFD97CB" w14:textId="77777777" w:rsidR="00D01053" w:rsidRDefault="001140E8" w:rsidP="001140E8">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Dự thảo Luật</w:t>
      </w:r>
      <w:r w:rsidRPr="001140E8">
        <w:rPr>
          <w:rStyle w:val="Strong"/>
          <w:rFonts w:ascii="Times New Roman" w:eastAsiaTheme="majorEastAsia" w:hAnsi="Times New Roman" w:cs="Times New Roman"/>
          <w:b w:val="0"/>
          <w:bCs w:val="0"/>
          <w:sz w:val="28"/>
          <w:szCs w:val="28"/>
        </w:rPr>
        <w:t xml:space="preserve"> thiết lập khung pháp lý cho việc thành lập và hoạt động của tổ chức thanh toán bù trừ trung tâm (CCP), đơn vị đóng vai trò bảo lãnh thực hiện mọi giao dịch trên thị trường hàng hóa phái sinh. CCP có trách nhiệm đứng giữa các bên tham gia, trở thành đối tác đối ứng cho cả bên mua và bên bán, từ đó loại bỏ rủi ro đối tác và giảm thiểu nguy cơ đổ vỡ dây chuyền.</w:t>
      </w:r>
    </w:p>
    <w:p w14:paraId="2DFCA2FE" w14:textId="3F6466FA" w:rsidR="001140E8" w:rsidRPr="001140E8" w:rsidRDefault="00D01053" w:rsidP="001140E8">
      <w:pPr>
        <w:spacing w:before="120" w:after="120" w:line="240" w:lineRule="auto"/>
        <w:ind w:firstLine="720"/>
        <w:jc w:val="both"/>
        <w:rPr>
          <w:rStyle w:val="Strong"/>
          <w:rFonts w:ascii="Times New Roman" w:eastAsiaTheme="majorEastAsia" w:hAnsi="Times New Roman" w:cs="Times New Roman"/>
          <w:b w:val="0"/>
          <w:bCs w:val="0"/>
          <w:sz w:val="28"/>
          <w:szCs w:val="28"/>
        </w:rPr>
      </w:pPr>
      <w:r>
        <w:rPr>
          <w:rStyle w:val="Strong"/>
          <w:rFonts w:ascii="Times New Roman" w:eastAsiaTheme="majorEastAsia" w:hAnsi="Times New Roman" w:cs="Times New Roman"/>
          <w:b w:val="0"/>
          <w:bCs w:val="0"/>
          <w:sz w:val="28"/>
          <w:szCs w:val="28"/>
        </w:rPr>
        <w:t xml:space="preserve">Dự thảo cũng </w:t>
      </w:r>
      <w:r w:rsidR="001140E8" w:rsidRPr="001140E8">
        <w:rPr>
          <w:rStyle w:val="Strong"/>
          <w:rFonts w:ascii="Times New Roman" w:eastAsiaTheme="majorEastAsia" w:hAnsi="Times New Roman" w:cs="Times New Roman"/>
          <w:b w:val="0"/>
          <w:bCs w:val="0"/>
          <w:sz w:val="28"/>
          <w:szCs w:val="28"/>
        </w:rPr>
        <w:t>quy định cơ chế quản lý ký quỹ minh bạch, trong đó mọi giao dịch phải được bảo đảm bằng tiền hoặc tài sản ký quỹ hợp pháp, đi kèm với cơ chế điều chỉnh ký quỹ theo biến động thị trường. Ngoài ra, CCP phải duy trì quỹ dự phòng rủi ro, nhằm xử lý trường hợp một thành viên mất khả năng thanh toán, bảo đảm an toàn tài chính và ổn định toàn hệ thống.</w:t>
      </w:r>
    </w:p>
    <w:p w14:paraId="5005AA09" w14:textId="77777777" w:rsidR="001140E8" w:rsidRPr="00D01053" w:rsidRDefault="001140E8" w:rsidP="001140E8">
      <w:pPr>
        <w:spacing w:before="120" w:after="120" w:line="240" w:lineRule="auto"/>
        <w:ind w:firstLine="720"/>
        <w:jc w:val="both"/>
        <w:rPr>
          <w:rStyle w:val="Strong"/>
          <w:rFonts w:ascii="Times New Roman" w:eastAsiaTheme="majorEastAsia" w:hAnsi="Times New Roman" w:cs="Times New Roman"/>
          <w:i/>
          <w:iCs/>
          <w:sz w:val="28"/>
          <w:szCs w:val="28"/>
        </w:rPr>
      </w:pPr>
      <w:r w:rsidRPr="00D01053">
        <w:rPr>
          <w:rStyle w:val="Strong"/>
          <w:rFonts w:ascii="Times New Roman" w:eastAsiaTheme="majorEastAsia" w:hAnsi="Times New Roman" w:cs="Times New Roman"/>
          <w:i/>
          <w:iCs/>
          <w:sz w:val="28"/>
          <w:szCs w:val="28"/>
        </w:rPr>
        <w:t>6.2. Quy định lưu ký và giao nhận hàng hóa cơ sở, chứng từ lưu ký, tiêu chuẩn kho bãi</w:t>
      </w:r>
    </w:p>
    <w:p w14:paraId="670FFEB1" w14:textId="6F839F1F" w:rsidR="001140E8" w:rsidRPr="001140E8" w:rsidRDefault="001140E8" w:rsidP="001140E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1140E8">
        <w:rPr>
          <w:rStyle w:val="Strong"/>
          <w:rFonts w:ascii="Times New Roman" w:eastAsiaTheme="majorEastAsia" w:hAnsi="Times New Roman" w:cs="Times New Roman"/>
          <w:b w:val="0"/>
          <w:bCs w:val="0"/>
          <w:sz w:val="28"/>
          <w:szCs w:val="28"/>
        </w:rPr>
        <w:t xml:space="preserve">Đối với hợp đồng phái sinh có khả năng giao nhận hàng hóa cơ sở khi đáo hạn, </w:t>
      </w:r>
      <w:r w:rsidR="00D01053">
        <w:rPr>
          <w:rStyle w:val="Strong"/>
          <w:rFonts w:ascii="Times New Roman" w:eastAsiaTheme="majorEastAsia" w:hAnsi="Times New Roman" w:cs="Times New Roman"/>
          <w:b w:val="0"/>
          <w:bCs w:val="0"/>
          <w:sz w:val="28"/>
          <w:szCs w:val="28"/>
        </w:rPr>
        <w:t xml:space="preserve">dự thảo </w:t>
      </w:r>
      <w:r w:rsidRPr="001140E8">
        <w:rPr>
          <w:rStyle w:val="Strong"/>
          <w:rFonts w:ascii="Times New Roman" w:eastAsiaTheme="majorEastAsia" w:hAnsi="Times New Roman" w:cs="Times New Roman"/>
          <w:b w:val="0"/>
          <w:bCs w:val="0"/>
          <w:sz w:val="28"/>
          <w:szCs w:val="28"/>
        </w:rPr>
        <w:t xml:space="preserve">Luật quy định chặt chẽ cơ chế lưu ký và giao nhận hàng hóa. Điều này bao gồm việc công nhận chứng từ lưu ký điện tử, quy định về quyền sở hữu hàng hóa trong thời gian lưu ký, cũng như trách nhiệm của đơn vị lưu ký đối với chất lượng và số lượng hàng hóa. </w:t>
      </w:r>
      <w:r w:rsidR="00D01053">
        <w:rPr>
          <w:rStyle w:val="Strong"/>
          <w:rFonts w:ascii="Times New Roman" w:eastAsiaTheme="majorEastAsia" w:hAnsi="Times New Roman" w:cs="Times New Roman"/>
          <w:b w:val="0"/>
          <w:bCs w:val="0"/>
          <w:sz w:val="28"/>
          <w:szCs w:val="28"/>
        </w:rPr>
        <w:t>Ngoài ra, dự thảo Luật cũng xác định khung các</w:t>
      </w:r>
      <w:r w:rsidRPr="001140E8">
        <w:rPr>
          <w:rStyle w:val="Strong"/>
          <w:rFonts w:ascii="Times New Roman" w:eastAsiaTheme="majorEastAsia" w:hAnsi="Times New Roman" w:cs="Times New Roman"/>
          <w:b w:val="0"/>
          <w:bCs w:val="0"/>
          <w:sz w:val="28"/>
          <w:szCs w:val="28"/>
        </w:rPr>
        <w:t xml:space="preserve"> tiêu chuẩn về kho bãi, bao gồm năng lực bảo quản, điều kiện an toàn, phòng cháy chữa cháy, vệ sinh và kiểm định chất lượng, nhằm bảo đảm rằng hàng hóa cơ sở đáp ứng tiêu chuẩn giao dịch. Cơ chế này vừa tăng tính tin cậy của hợp đồng phái sinh, vừa giúp kết nối chặt chẽ thị trường phái sinh với thị trường hàng hóa vật chất.</w:t>
      </w:r>
    </w:p>
    <w:p w14:paraId="6BAAB19A" w14:textId="77777777" w:rsidR="001140E8" w:rsidRPr="00D01053" w:rsidRDefault="001140E8" w:rsidP="001140E8">
      <w:pPr>
        <w:spacing w:before="120" w:after="120" w:line="240" w:lineRule="auto"/>
        <w:ind w:firstLine="720"/>
        <w:jc w:val="both"/>
        <w:rPr>
          <w:rStyle w:val="Strong"/>
          <w:rFonts w:ascii="Times New Roman" w:eastAsiaTheme="majorEastAsia" w:hAnsi="Times New Roman" w:cs="Times New Roman"/>
          <w:i/>
          <w:iCs/>
          <w:sz w:val="28"/>
          <w:szCs w:val="28"/>
        </w:rPr>
      </w:pPr>
      <w:r w:rsidRPr="00D01053">
        <w:rPr>
          <w:rStyle w:val="Strong"/>
          <w:rFonts w:ascii="Times New Roman" w:eastAsiaTheme="majorEastAsia" w:hAnsi="Times New Roman" w:cs="Times New Roman"/>
          <w:i/>
          <w:iCs/>
          <w:sz w:val="28"/>
          <w:szCs w:val="28"/>
        </w:rPr>
        <w:t>6.3. Quy định quản lý dữ liệu giao dịch, bảo mật và cung cấp dữ liệu phục vụ giám sát</w:t>
      </w:r>
    </w:p>
    <w:p w14:paraId="6C6ADC7C" w14:textId="3F506DA4" w:rsidR="001140E8" w:rsidRPr="00D01053" w:rsidRDefault="001140E8" w:rsidP="001140E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D01053">
        <w:rPr>
          <w:rStyle w:val="Strong"/>
          <w:rFonts w:ascii="Times New Roman" w:eastAsiaTheme="majorEastAsia" w:hAnsi="Times New Roman" w:cs="Times New Roman"/>
          <w:b w:val="0"/>
          <w:bCs w:val="0"/>
          <w:sz w:val="28"/>
          <w:szCs w:val="28"/>
        </w:rPr>
        <w:t xml:space="preserve">Trong bối cảnh giao dịch điện tử chiếm ưu thế, dữ liệu giao dịch trở thành yếu tố trọng yếu để giám sát và vận hành thị trường. </w:t>
      </w:r>
      <w:r w:rsidR="00163815">
        <w:rPr>
          <w:rStyle w:val="Strong"/>
          <w:rFonts w:ascii="Times New Roman" w:eastAsiaTheme="majorEastAsia" w:hAnsi="Times New Roman" w:cs="Times New Roman"/>
          <w:b w:val="0"/>
          <w:bCs w:val="0"/>
          <w:sz w:val="28"/>
          <w:szCs w:val="28"/>
        </w:rPr>
        <w:t>Dự thảo Luật</w:t>
      </w:r>
      <w:r w:rsidRPr="00D01053">
        <w:rPr>
          <w:rStyle w:val="Strong"/>
          <w:rFonts w:ascii="Times New Roman" w:eastAsiaTheme="majorEastAsia" w:hAnsi="Times New Roman" w:cs="Times New Roman"/>
          <w:b w:val="0"/>
          <w:bCs w:val="0"/>
          <w:sz w:val="28"/>
          <w:szCs w:val="28"/>
        </w:rPr>
        <w:t xml:space="preserve"> quy định về trách nhiệm của SGDHHPS, CCP và các tổ chức liên quan trong việc thu thập, lưu trữ, bảo mật và cung cấp dữ liệu giao dịch. Các đơn vị này phải bảo đảm dữ liệu được lưu trữ an toàn, chống truy cập trái phép, đồng thời có nghĩa vụ cung cấp kịp thời thông tin cho cơ quan quản lý nhà nước phục vụ giám sát và điều tra khi có dấu hiệu vi phạm. Ngoài ra, </w:t>
      </w:r>
      <w:r w:rsidR="00163815">
        <w:rPr>
          <w:rStyle w:val="Strong"/>
          <w:rFonts w:ascii="Times New Roman" w:eastAsiaTheme="majorEastAsia" w:hAnsi="Times New Roman" w:cs="Times New Roman"/>
          <w:b w:val="0"/>
          <w:bCs w:val="0"/>
          <w:sz w:val="28"/>
          <w:szCs w:val="28"/>
        </w:rPr>
        <w:t>dự thảo đưa ra các quy định nhằm</w:t>
      </w:r>
      <w:r w:rsidRPr="00D01053">
        <w:rPr>
          <w:rStyle w:val="Strong"/>
          <w:rFonts w:ascii="Times New Roman" w:eastAsiaTheme="majorEastAsia" w:hAnsi="Times New Roman" w:cs="Times New Roman"/>
          <w:b w:val="0"/>
          <w:bCs w:val="0"/>
          <w:sz w:val="28"/>
          <w:szCs w:val="28"/>
        </w:rPr>
        <w:t xml:space="preserve"> khuyến khích việc ứng dụng công nghệ hiện đại như blockchain, trí tuệ nhân tạo trong quản lý dữ liệu để nâng cao tính minh bạch và hiệu quả giám sát.</w:t>
      </w:r>
    </w:p>
    <w:p w14:paraId="5A996932" w14:textId="77777777" w:rsidR="001140E8" w:rsidRPr="00163815" w:rsidRDefault="001140E8" w:rsidP="001140E8">
      <w:pPr>
        <w:spacing w:before="120" w:after="120" w:line="240" w:lineRule="auto"/>
        <w:ind w:firstLine="720"/>
        <w:jc w:val="both"/>
        <w:rPr>
          <w:rStyle w:val="Strong"/>
          <w:rFonts w:ascii="Times New Roman" w:eastAsiaTheme="majorEastAsia" w:hAnsi="Times New Roman" w:cs="Times New Roman"/>
          <w:i/>
          <w:iCs/>
          <w:sz w:val="28"/>
          <w:szCs w:val="28"/>
        </w:rPr>
      </w:pPr>
      <w:r w:rsidRPr="00163815">
        <w:rPr>
          <w:rStyle w:val="Strong"/>
          <w:rFonts w:ascii="Times New Roman" w:eastAsiaTheme="majorEastAsia" w:hAnsi="Times New Roman" w:cs="Times New Roman"/>
          <w:i/>
          <w:iCs/>
          <w:sz w:val="28"/>
          <w:szCs w:val="28"/>
        </w:rPr>
        <w:lastRenderedPageBreak/>
        <w:t>6.4. Quy định phát triển dịch vụ phụ trợ: xếp hạng tín nhiệm, cung cấp dữ liệu, tư vấn, đào tạo</w:t>
      </w:r>
    </w:p>
    <w:p w14:paraId="0AFD4538" w14:textId="35736BAE" w:rsidR="001140E8" w:rsidRDefault="001140E8" w:rsidP="001140E8">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D01053">
        <w:rPr>
          <w:rStyle w:val="Strong"/>
          <w:rFonts w:ascii="Times New Roman" w:eastAsiaTheme="majorEastAsia" w:hAnsi="Times New Roman" w:cs="Times New Roman"/>
          <w:b w:val="0"/>
          <w:bCs w:val="0"/>
          <w:sz w:val="28"/>
          <w:szCs w:val="28"/>
        </w:rPr>
        <w:t xml:space="preserve">Để thị trường phát triển toàn diện và chuyên nghiệp, </w:t>
      </w:r>
      <w:r w:rsidR="00163815">
        <w:rPr>
          <w:rStyle w:val="Strong"/>
          <w:rFonts w:ascii="Times New Roman" w:eastAsiaTheme="majorEastAsia" w:hAnsi="Times New Roman" w:cs="Times New Roman"/>
          <w:b w:val="0"/>
          <w:bCs w:val="0"/>
          <w:sz w:val="28"/>
          <w:szCs w:val="28"/>
        </w:rPr>
        <w:t>dự thảo Luật quy định về các</w:t>
      </w:r>
      <w:r w:rsidRPr="00D01053">
        <w:rPr>
          <w:rStyle w:val="Strong"/>
          <w:rFonts w:ascii="Times New Roman" w:eastAsiaTheme="majorEastAsia" w:hAnsi="Times New Roman" w:cs="Times New Roman"/>
          <w:b w:val="0"/>
          <w:bCs w:val="0"/>
          <w:sz w:val="28"/>
          <w:szCs w:val="28"/>
        </w:rPr>
        <w:t xml:space="preserve"> dịch vụ phụ trợ liên quan đến giao dịch hàng hóa phái sinh. Các dịch vụ này bao gồm tổ chức xếp hạng tín nhiệm nhằm đánh giá năng lực tài chính của các thành viên thị trường; đơn vị cung cấp dữ liệu và phân tích thị trường giúp nhà đầu tư và doanh nghiệp có cơ sở ra quyết định; tổ chức tư vấn pháp lý và tài chính hỗ trợ doanh nghiệp, nhà đầu tư tham gia thị trường hiệu quả; và cơ sở đào tạo nhằm bồi dưỡng nguồn nhân lực chất lượng cao. Việc phát triển các dịch vụ phụ trợ không chỉ tạo hệ sinh thái thị trường đa dạng, mà còn góp phần nâng cao tính minh bạch, giảm thiểu rủi ro và bảo đảm sự phát triển bền vững của thị trường phái sinh tại Việt Nam.</w:t>
      </w:r>
    </w:p>
    <w:p w14:paraId="4E75D9C8" w14:textId="2ED987ED" w:rsidR="00590E4E" w:rsidRPr="00590E4E" w:rsidRDefault="00590E4E" w:rsidP="00590E4E">
      <w:pPr>
        <w:spacing w:before="120" w:after="120" w:line="240" w:lineRule="auto"/>
        <w:ind w:firstLine="720"/>
        <w:jc w:val="both"/>
        <w:rPr>
          <w:rStyle w:val="Strong"/>
          <w:rFonts w:ascii="Times New Roman" w:eastAsiaTheme="majorEastAsia" w:hAnsi="Times New Roman" w:cs="Times New Roman"/>
          <w:sz w:val="28"/>
          <w:szCs w:val="28"/>
        </w:rPr>
      </w:pPr>
      <w:r w:rsidRPr="00590E4E">
        <w:rPr>
          <w:rStyle w:val="Strong"/>
          <w:rFonts w:ascii="Times New Roman" w:eastAsiaTheme="majorEastAsia" w:hAnsi="Times New Roman" w:cs="Times New Roman"/>
          <w:sz w:val="28"/>
          <w:szCs w:val="28"/>
        </w:rPr>
        <w:t>7. Chính sách 7: Hoàn thiện quy định về giao dịch xuyên biên giới</w:t>
      </w:r>
    </w:p>
    <w:p w14:paraId="1A30AFD1" w14:textId="77777777" w:rsidR="00590E4E" w:rsidRPr="00590E4E" w:rsidRDefault="00590E4E" w:rsidP="00590E4E">
      <w:pPr>
        <w:spacing w:before="120" w:after="120" w:line="240" w:lineRule="auto"/>
        <w:ind w:firstLine="720"/>
        <w:jc w:val="both"/>
        <w:rPr>
          <w:rStyle w:val="Strong"/>
          <w:rFonts w:ascii="Times New Roman" w:eastAsiaTheme="majorEastAsia" w:hAnsi="Times New Roman" w:cs="Times New Roman"/>
          <w:i/>
          <w:iCs/>
          <w:sz w:val="28"/>
          <w:szCs w:val="28"/>
        </w:rPr>
      </w:pPr>
      <w:r w:rsidRPr="00590E4E">
        <w:rPr>
          <w:rStyle w:val="Strong"/>
          <w:rFonts w:ascii="Times New Roman" w:eastAsiaTheme="majorEastAsia" w:hAnsi="Times New Roman" w:cs="Times New Roman"/>
          <w:i/>
          <w:iCs/>
          <w:sz w:val="28"/>
          <w:szCs w:val="28"/>
        </w:rPr>
        <w:t>7.1. Quy định nguyên tắc và điều kiện liên thông với Sở giao dịch hàng hóa quốc tế</w:t>
      </w:r>
    </w:p>
    <w:p w14:paraId="2BB907F6" w14:textId="0E85563F" w:rsidR="0094570A" w:rsidRDefault="0094570A" w:rsidP="00590E4E">
      <w:pPr>
        <w:spacing w:before="120" w:after="120" w:line="240" w:lineRule="auto"/>
        <w:ind w:firstLine="720"/>
        <w:jc w:val="both"/>
        <w:rPr>
          <w:rFonts w:ascii="Times New Roman" w:hAnsi="Times New Roman" w:cs="Times New Roman"/>
          <w:sz w:val="28"/>
          <w:szCs w:val="28"/>
        </w:rPr>
      </w:pPr>
      <w:r w:rsidRPr="0094570A">
        <w:rPr>
          <w:rFonts w:ascii="Times New Roman" w:hAnsi="Times New Roman" w:cs="Times New Roman"/>
          <w:sz w:val="28"/>
          <w:szCs w:val="28"/>
        </w:rPr>
        <w:t xml:space="preserve">Trong bối cảnh toàn cầu hóa và hội nhập kinh tế quốc tế ngày càng sâu rộng, việc cho phép Sở Giao dịch hàng hóa phái sinh của Việt Nam liên thông với các Sở giao dịch hàng hóa quốc tế không chỉ là xu hướng tất yếu mà còn là bước đi chiến lược nhằm mở rộng quy mô thị trường, tăng tính thanh khoản, đa dạng hóa sản phẩm và thu hút sự tham gia của các nhà đầu tư nước ngoài. Tuy nhiên, để bảo đảm quá trình liên thông vừa mở cửa hội nhập vừa giữ vững chủ quyền quản lý nhà nước, </w:t>
      </w:r>
      <w:r>
        <w:rPr>
          <w:rFonts w:ascii="Times New Roman" w:hAnsi="Times New Roman" w:cs="Times New Roman"/>
          <w:sz w:val="28"/>
          <w:szCs w:val="28"/>
        </w:rPr>
        <w:t>dự thảo Luật</w:t>
      </w:r>
      <w:r w:rsidRPr="0094570A">
        <w:rPr>
          <w:rFonts w:ascii="Times New Roman" w:hAnsi="Times New Roman" w:cs="Times New Roman"/>
          <w:sz w:val="28"/>
          <w:szCs w:val="28"/>
        </w:rPr>
        <w:t xml:space="preserve"> những nguyên tắc cơ bản làm nền tảng pháp lý cho hoạt động này. Các nguyên tắc bao gồm sự tương thích về khung pháp lý, sự đồng bộ về chuẩn mực giao dịch và tính tương thích của hạ tầng công nghệ, nhằm bảo đảm các giao dịch xuyên biên giới được vận hành thông suốt, minh bạch và công bằng.</w:t>
      </w:r>
    </w:p>
    <w:p w14:paraId="63169A30" w14:textId="1A3D335E" w:rsidR="0094570A" w:rsidRDefault="0094570A" w:rsidP="00590E4E">
      <w:pPr>
        <w:spacing w:before="120" w:after="120" w:line="240" w:lineRule="auto"/>
        <w:ind w:firstLine="720"/>
        <w:jc w:val="both"/>
        <w:rPr>
          <w:rFonts w:ascii="Times New Roman" w:hAnsi="Times New Roman" w:cs="Times New Roman"/>
          <w:sz w:val="28"/>
          <w:szCs w:val="28"/>
        </w:rPr>
      </w:pPr>
      <w:r w:rsidRPr="0094570A">
        <w:rPr>
          <w:rFonts w:ascii="Times New Roman" w:hAnsi="Times New Roman" w:cs="Times New Roman"/>
          <w:sz w:val="28"/>
          <w:szCs w:val="28"/>
        </w:rPr>
        <w:t xml:space="preserve">Đồng thời, </w:t>
      </w:r>
      <w:r>
        <w:rPr>
          <w:rFonts w:ascii="Times New Roman" w:hAnsi="Times New Roman" w:cs="Times New Roman"/>
          <w:sz w:val="28"/>
          <w:szCs w:val="28"/>
        </w:rPr>
        <w:t>dự thảo Luật cũng</w:t>
      </w:r>
      <w:r w:rsidRPr="0094570A">
        <w:rPr>
          <w:rFonts w:ascii="Times New Roman" w:hAnsi="Times New Roman" w:cs="Times New Roman"/>
          <w:sz w:val="28"/>
          <w:szCs w:val="28"/>
        </w:rPr>
        <w:t xml:space="preserve"> quy định các điều kiện chặt chẽ để triển khai liên thông, trong đó nhấn mạnh yêu cầu bảo đảm an toàn hệ thống tài chính quốc gia, tuân thủ nghiêm ngặt các quy định về quản lý ngoại hối, phòng chống rửa tiền và chống tài trợ khủng bố, cũng như bảo đảm mọi hoạt động giao dịch quốc tế đều đáp ứng chuẩn mực công khai, minh bạch và bảo vệ quyền lợi nhà đầu tư. Việc quy định khung nguyên tắc ở cấp Luật giúp tạo hành lang pháp lý ổn định, còn chi tiết về lựa chọn đối tác liên thông, quy trình kỹ thuật, phương thức chia sẻ dữ liệu và cơ chế giám sát song phương hoặc đa phương sẽ được giao cho Chính phủ quy định, nhằm bảo đảm tính linh hoạt trong thực thi và khả năng điều chỉnh phù hợp với bối cảnh thực tiễn. Cách tiếp cận này vừa cho phép thị trường hàng hóa phái sinh Việt Nam hội nhập với dòng chảy quốc tế, vừa bảo đảm lợi ích quốc gia và an ninh tài chính trong dài hạn.</w:t>
      </w:r>
    </w:p>
    <w:p w14:paraId="4BBF7F96" w14:textId="49ABE901" w:rsidR="00590E4E" w:rsidRPr="0094570A" w:rsidRDefault="00590E4E" w:rsidP="00590E4E">
      <w:pPr>
        <w:spacing w:before="120" w:after="120" w:line="240" w:lineRule="auto"/>
        <w:ind w:firstLine="720"/>
        <w:jc w:val="both"/>
        <w:rPr>
          <w:rStyle w:val="Strong"/>
          <w:rFonts w:ascii="Times New Roman" w:eastAsiaTheme="majorEastAsia" w:hAnsi="Times New Roman" w:cs="Times New Roman"/>
          <w:i/>
          <w:iCs/>
          <w:sz w:val="28"/>
          <w:szCs w:val="28"/>
        </w:rPr>
      </w:pPr>
      <w:r w:rsidRPr="0094570A">
        <w:rPr>
          <w:rStyle w:val="Strong"/>
          <w:rFonts w:ascii="Times New Roman" w:eastAsiaTheme="majorEastAsia" w:hAnsi="Times New Roman" w:cs="Times New Roman"/>
          <w:i/>
          <w:iCs/>
          <w:sz w:val="28"/>
          <w:szCs w:val="28"/>
        </w:rPr>
        <w:t>7.2. Quy định trách nhiệm và quy trình phát triển hợp đồng hàng hóa nội địa ra quốc tế</w:t>
      </w:r>
    </w:p>
    <w:p w14:paraId="540EB3E9" w14:textId="11ECCAEB" w:rsidR="00320173" w:rsidRDefault="0094570A" w:rsidP="00590E4E">
      <w:pPr>
        <w:spacing w:before="120" w:after="120" w:line="240" w:lineRule="auto"/>
        <w:ind w:firstLine="720"/>
        <w:jc w:val="both"/>
        <w:rPr>
          <w:rFonts w:ascii="Times New Roman" w:hAnsi="Times New Roman" w:cs="Times New Roman"/>
          <w:sz w:val="28"/>
          <w:szCs w:val="28"/>
        </w:rPr>
      </w:pPr>
      <w:r w:rsidRPr="0094570A">
        <w:rPr>
          <w:rFonts w:ascii="Times New Roman" w:hAnsi="Times New Roman" w:cs="Times New Roman"/>
          <w:sz w:val="28"/>
          <w:szCs w:val="28"/>
        </w:rPr>
        <w:t xml:space="preserve">Để nâng cao vị thế của hàng hóa Việt Nam và từng bước khẳng định vai trò trên bản đồ phái sinh toàn cầu, </w:t>
      </w:r>
      <w:r w:rsidR="006062C4">
        <w:rPr>
          <w:rFonts w:ascii="Times New Roman" w:hAnsi="Times New Roman" w:cs="Times New Roman"/>
          <w:sz w:val="28"/>
          <w:szCs w:val="28"/>
        </w:rPr>
        <w:t>dự thảo Luật quy định</w:t>
      </w:r>
      <w:r w:rsidRPr="0094570A">
        <w:rPr>
          <w:rFonts w:ascii="Times New Roman" w:hAnsi="Times New Roman" w:cs="Times New Roman"/>
          <w:sz w:val="28"/>
          <w:szCs w:val="28"/>
        </w:rPr>
        <w:t xml:space="preserve"> cơ chế pháp lý cho phép </w:t>
      </w:r>
      <w:r w:rsidRPr="0094570A">
        <w:rPr>
          <w:rFonts w:ascii="Times New Roman" w:hAnsi="Times New Roman" w:cs="Times New Roman"/>
          <w:sz w:val="28"/>
          <w:szCs w:val="28"/>
        </w:rPr>
        <w:lastRenderedPageBreak/>
        <w:t>phát triển các hợp đồng hàng hóa nội địa trở thành sản phẩm giao dịch quốc tế. Cơ chế này không chỉ mở ra cơ hội quảng bá thương hiệu hàng hóa Việt mà còn tạo công cụ phòng ngừa rủi ro hữu hiệu cho các doanh nghiệp xuất nhập khẩu trong bối cảnh hội nhập. Trách nhiệm trung tâm thuộc về Sở Giao dịch hàng hóa phái sinh, với vai trò khởi xướng, chuẩn hóa và xây dựng các hợp đồng dựa trên những mặt hàng chủ lực của Việt Nam, như nông sản, cà phê, hạt tiêu, gạo, cao su hay các sản phẩm công nghiệp có sức cạnh tranh. Sở Giao dịch phải bảo đảm rằng hợp đồng được thiết kế theo chuẩn mực quốc tế, bao gồm các yếu tố về quy mô hợp đồng, đơn vị giao dịch, phương thức thanh toán, cơ chế ký quỹ và thanh toán bù trừ, đồng thời đáp ứng yêu cầu minh bạch và dễ dàng so sánh với sản phẩm tương tự trên các Sở giao dịch quốc tế.</w:t>
      </w:r>
    </w:p>
    <w:p w14:paraId="53114C31" w14:textId="11E8CEC3" w:rsidR="00590E4E" w:rsidRPr="0094570A" w:rsidRDefault="0094570A" w:rsidP="00590E4E">
      <w:pPr>
        <w:spacing w:before="120" w:after="120" w:line="240" w:lineRule="auto"/>
        <w:ind w:firstLine="720"/>
        <w:jc w:val="both"/>
        <w:rPr>
          <w:rStyle w:val="Strong"/>
          <w:rFonts w:ascii="Times New Roman" w:eastAsiaTheme="majorEastAsia" w:hAnsi="Times New Roman" w:cs="Times New Roman"/>
          <w:b w:val="0"/>
          <w:bCs w:val="0"/>
          <w:sz w:val="28"/>
          <w:szCs w:val="28"/>
        </w:rPr>
      </w:pPr>
      <w:r w:rsidRPr="0094570A">
        <w:rPr>
          <w:rFonts w:ascii="Times New Roman" w:hAnsi="Times New Roman" w:cs="Times New Roman"/>
          <w:sz w:val="28"/>
          <w:szCs w:val="28"/>
        </w:rPr>
        <w:t xml:space="preserve">Bên cạnh đó, Sở có trách nhiệm phối hợp chặt chẽ với các cơ quan quản lý nhà nước như Bộ Nông nghiệp và </w:t>
      </w:r>
      <w:r w:rsidR="00320173">
        <w:rPr>
          <w:rFonts w:ascii="Times New Roman" w:hAnsi="Times New Roman" w:cs="Times New Roman"/>
          <w:sz w:val="28"/>
          <w:szCs w:val="28"/>
        </w:rPr>
        <w:t>Môi trường</w:t>
      </w:r>
      <w:r w:rsidRPr="0094570A">
        <w:rPr>
          <w:rFonts w:ascii="Times New Roman" w:hAnsi="Times New Roman" w:cs="Times New Roman"/>
          <w:sz w:val="28"/>
          <w:szCs w:val="28"/>
        </w:rPr>
        <w:t xml:space="preserve"> trong việc xác định chất lượng và nguồn gốc hàng hóa, Bộ Công Thương trong việc định hướng phát triển thị trường và quản lý giao dịch, Bộ Tài chính trong việc giám sát nghĩa vụ tài chính và chuẩn mực kế toán, nhằm bảo đảm tính đồng bộ và uy tín của sản phẩm. Toàn bộ quá trình từ khâu chuẩn hóa sản phẩm, thẩm định hợp đồng, đến phê duyệt niêm yết ra quốc tế cần được kiểm soát chặt chẽ bởi cơ quan quản lý chuyên ngành, nhằm tránh tình trạng đưa ra thị trường những sản phẩm kém thanh khoản, thiếu chuẩn hóa hoặc tiềm ẩn rủi ro cao. Cuối cùng, việc ký kết các thỏa thuận hợp tác với Sở giao dịch quốc tế phải đi kèm với cơ chế giám sát song phương và chia sẻ dữ liệu, bảo đảm rằng hợp đồng hàng hóa nội địa khi bước ra thị trường toàn cầu vừa giữ được uy tín quốc gia, vừa đáp ứng yêu cầu khắt khe của các đối tác quốc tế.</w:t>
      </w:r>
    </w:p>
    <w:p w14:paraId="59A4E4CB" w14:textId="77777777" w:rsidR="00590E4E" w:rsidRPr="007B66CC" w:rsidRDefault="00590E4E" w:rsidP="00590E4E">
      <w:pPr>
        <w:spacing w:before="120" w:after="120" w:line="240" w:lineRule="auto"/>
        <w:ind w:firstLine="720"/>
        <w:jc w:val="both"/>
        <w:rPr>
          <w:rStyle w:val="Strong"/>
          <w:rFonts w:ascii="Times New Roman" w:eastAsiaTheme="majorEastAsia" w:hAnsi="Times New Roman" w:cs="Times New Roman"/>
          <w:sz w:val="28"/>
          <w:szCs w:val="28"/>
        </w:rPr>
      </w:pPr>
      <w:r w:rsidRPr="007B66CC">
        <w:rPr>
          <w:rStyle w:val="Strong"/>
          <w:rFonts w:ascii="Times New Roman" w:eastAsiaTheme="majorEastAsia" w:hAnsi="Times New Roman" w:cs="Times New Roman"/>
          <w:sz w:val="28"/>
          <w:szCs w:val="28"/>
        </w:rPr>
        <w:t>7.3. Quy định cơ chế quản lý rủi ro xuyên biên giới và bảo vệ nhà đầu tư trong giao dịch liên thông</w:t>
      </w:r>
    </w:p>
    <w:p w14:paraId="2F249F62" w14:textId="77777777" w:rsidR="007B66CC" w:rsidRDefault="003A52CC" w:rsidP="003A52CC">
      <w:pPr>
        <w:spacing w:before="120" w:after="120" w:line="240" w:lineRule="auto"/>
        <w:ind w:firstLine="720"/>
        <w:jc w:val="both"/>
        <w:rPr>
          <w:rFonts w:ascii="Times New Roman" w:hAnsi="Times New Roman" w:cs="Times New Roman"/>
          <w:sz w:val="28"/>
          <w:szCs w:val="28"/>
        </w:rPr>
      </w:pPr>
      <w:r w:rsidRPr="003A52CC">
        <w:rPr>
          <w:rFonts w:ascii="Times New Roman" w:hAnsi="Times New Roman" w:cs="Times New Roman"/>
          <w:sz w:val="28"/>
          <w:szCs w:val="28"/>
        </w:rPr>
        <w:t xml:space="preserve">Giao dịch hàng hóa phái sinh xuyên biên giới mở ra cơ hội lớn về hội nhập và mở rộng thị trường nhưng cũng tiềm ẩn những rủi ro phức tạp, đòi hỏi phải có cơ chế quản lý chặt chẽ. Sự khác biệt về khung pháp luật, cơ chế thanh toán quốc tế, chuẩn mực giám sát và thẩm quyền tài phán giữa các quốc gia dễ dẫn đến xung đột trong quản lý và giải quyết tranh chấp. Đồng thời, các nguy cơ gian lận xuyên biên giới, rửa tiền hoặc biến động bất thường từ các thị trường lớn có thể tác động trực tiếp đến sự ổn định của thị trường trong nước. </w:t>
      </w:r>
      <w:r w:rsidR="007B66CC">
        <w:rPr>
          <w:rFonts w:ascii="Times New Roman" w:hAnsi="Times New Roman" w:cs="Times New Roman"/>
          <w:sz w:val="28"/>
          <w:szCs w:val="28"/>
        </w:rPr>
        <w:t>Theo đó, Luật</w:t>
      </w:r>
      <w:r w:rsidRPr="003A52CC">
        <w:rPr>
          <w:rFonts w:ascii="Times New Roman" w:hAnsi="Times New Roman" w:cs="Times New Roman"/>
          <w:sz w:val="28"/>
          <w:szCs w:val="28"/>
        </w:rPr>
        <w:t xml:space="preserve"> thiết lập một cơ chế quản lý rủi ro xuyên biên giới, trong đó S</w:t>
      </w:r>
      <w:r w:rsidR="007B66CC">
        <w:rPr>
          <w:rFonts w:ascii="Times New Roman" w:hAnsi="Times New Roman" w:cs="Times New Roman"/>
          <w:sz w:val="28"/>
          <w:szCs w:val="28"/>
        </w:rPr>
        <w:t xml:space="preserve">ở </w:t>
      </w:r>
      <w:r w:rsidRPr="003A52CC">
        <w:rPr>
          <w:rFonts w:ascii="Times New Roman" w:hAnsi="Times New Roman" w:cs="Times New Roman"/>
          <w:sz w:val="28"/>
          <w:szCs w:val="28"/>
        </w:rPr>
        <w:t>GDHHPS, CCP và cơ quan quản lý có trách nhiệm chủ động ký kết thỏa thuận hợp tác giám sát với các sở giao dịch và cơ quan quản lý nước ngoài, thiết lập cơ chế chia sẻ dữ liệu và phối hợp xử lý sự cố nhằm phát hiện và ngăn chặn kịp thời những bất thường trong giao dịch.</w:t>
      </w:r>
    </w:p>
    <w:p w14:paraId="22C9247F" w14:textId="77777777" w:rsidR="007B66CC" w:rsidRDefault="003A52CC" w:rsidP="003A52CC">
      <w:pPr>
        <w:spacing w:before="120" w:after="120" w:line="240" w:lineRule="auto"/>
        <w:ind w:firstLine="720"/>
        <w:jc w:val="both"/>
        <w:rPr>
          <w:rFonts w:ascii="Times New Roman" w:hAnsi="Times New Roman" w:cs="Times New Roman"/>
          <w:sz w:val="28"/>
          <w:szCs w:val="28"/>
        </w:rPr>
      </w:pPr>
      <w:r w:rsidRPr="003A52CC">
        <w:rPr>
          <w:rFonts w:ascii="Times New Roman" w:hAnsi="Times New Roman" w:cs="Times New Roman"/>
          <w:sz w:val="28"/>
          <w:szCs w:val="28"/>
        </w:rPr>
        <w:t xml:space="preserve">Về phía nhà đầu tư, </w:t>
      </w:r>
      <w:r w:rsidR="007B66CC">
        <w:rPr>
          <w:rFonts w:ascii="Times New Roman" w:hAnsi="Times New Roman" w:cs="Times New Roman"/>
          <w:sz w:val="28"/>
          <w:szCs w:val="28"/>
        </w:rPr>
        <w:t>dự thảo Luật quy định</w:t>
      </w:r>
      <w:r w:rsidRPr="003A52CC">
        <w:rPr>
          <w:rFonts w:ascii="Times New Roman" w:hAnsi="Times New Roman" w:cs="Times New Roman"/>
          <w:sz w:val="28"/>
          <w:szCs w:val="28"/>
        </w:rPr>
        <w:t xml:space="preserve"> cơ chế bảo vệ toàn diện, từ yêu cầu công bố đầy đủ và rõ ràng các rủi ro liên quan đến giao dịch liên thông, đến nghĩa vụ tư vấn bắt buộc của môi giới trước khi khách hàng tham gia giao dịch quốc tế, để nhà đầu tư có thể đưa ra quyết định trên cơ sở thông tin minh bạch và đầy đủ. Đồng thời, cần xây dựng một cơ chế giải quyết tranh chấp có yếu tố nước </w:t>
      </w:r>
      <w:r w:rsidRPr="003A52CC">
        <w:rPr>
          <w:rFonts w:ascii="Times New Roman" w:hAnsi="Times New Roman" w:cs="Times New Roman"/>
          <w:sz w:val="28"/>
          <w:szCs w:val="28"/>
        </w:rPr>
        <w:lastRenderedPageBreak/>
        <w:t>ngoài, bảo đảm sự công bằng, khả thi và phù hợp với thông lệ quốc tế, nhằm tạo niềm tin cho nhà đầu tư khi tham gia thị trường xuyên biên giới.</w:t>
      </w:r>
    </w:p>
    <w:p w14:paraId="27F6BE31" w14:textId="46EF272E" w:rsidR="00934293" w:rsidRPr="00BE4A6B" w:rsidRDefault="003A52CC" w:rsidP="003A52CC">
      <w:pPr>
        <w:spacing w:before="120" w:after="120" w:line="240" w:lineRule="auto"/>
        <w:ind w:firstLine="720"/>
        <w:jc w:val="both"/>
        <w:rPr>
          <w:rFonts w:ascii="Times New Roman" w:hAnsi="Times New Roman" w:cs="Times New Roman"/>
          <w:sz w:val="28"/>
          <w:szCs w:val="28"/>
        </w:rPr>
      </w:pPr>
      <w:r w:rsidRPr="003A52CC">
        <w:rPr>
          <w:rFonts w:ascii="Times New Roman" w:hAnsi="Times New Roman" w:cs="Times New Roman"/>
          <w:sz w:val="28"/>
          <w:szCs w:val="28"/>
        </w:rPr>
        <w:t xml:space="preserve">Ngoài ra, Luật cũng </w:t>
      </w:r>
      <w:r w:rsidR="007B66CC">
        <w:rPr>
          <w:rFonts w:ascii="Times New Roman" w:hAnsi="Times New Roman" w:cs="Times New Roman"/>
          <w:sz w:val="28"/>
          <w:szCs w:val="28"/>
        </w:rPr>
        <w:t>giao</w:t>
      </w:r>
      <w:r w:rsidRPr="003A52CC">
        <w:rPr>
          <w:rFonts w:ascii="Times New Roman" w:hAnsi="Times New Roman" w:cs="Times New Roman"/>
          <w:sz w:val="28"/>
          <w:szCs w:val="28"/>
        </w:rPr>
        <w:t xml:space="preserve"> Chính phủ q</w:t>
      </w:r>
      <w:r w:rsidR="007B66CC">
        <w:rPr>
          <w:rFonts w:ascii="Times New Roman" w:hAnsi="Times New Roman" w:cs="Times New Roman"/>
          <w:sz w:val="28"/>
          <w:szCs w:val="28"/>
        </w:rPr>
        <w:t>uy định</w:t>
      </w:r>
      <w:r w:rsidRPr="003A52CC">
        <w:rPr>
          <w:rFonts w:ascii="Times New Roman" w:hAnsi="Times New Roman" w:cs="Times New Roman"/>
          <w:sz w:val="28"/>
          <w:szCs w:val="28"/>
        </w:rPr>
        <w:t xml:space="preserve"> các biện pháp khẩn cấp, bao gồm hạn chế hoặc tạm đình chỉ giao dịch liên thông, trong trường hợp xuất hiện rủi ro hệ thống, biến </w:t>
      </w:r>
      <w:r w:rsidRPr="00BE4A6B">
        <w:rPr>
          <w:rFonts w:ascii="Times New Roman" w:hAnsi="Times New Roman" w:cs="Times New Roman"/>
          <w:sz w:val="28"/>
          <w:szCs w:val="28"/>
        </w:rPr>
        <w:t>động bất thường hoặc nguy cơ đe dọa đến an ninh tài chính quốc gia.</w:t>
      </w:r>
    </w:p>
    <w:p w14:paraId="11537B34" w14:textId="1CDC8405" w:rsidR="00BE4A6B" w:rsidRPr="00BE4A6B" w:rsidRDefault="00BE4A6B" w:rsidP="00BE4A6B">
      <w:pPr>
        <w:spacing w:before="120" w:after="120" w:line="240" w:lineRule="auto"/>
        <w:ind w:firstLine="720"/>
        <w:jc w:val="both"/>
        <w:rPr>
          <w:rStyle w:val="Strong"/>
          <w:rFonts w:ascii="Times New Roman" w:eastAsiaTheme="majorEastAsia" w:hAnsi="Times New Roman" w:cs="Times New Roman"/>
          <w:sz w:val="28"/>
          <w:szCs w:val="28"/>
        </w:rPr>
      </w:pPr>
      <w:r>
        <w:rPr>
          <w:rStyle w:val="Strong"/>
          <w:rFonts w:ascii="Times New Roman" w:eastAsiaTheme="majorEastAsia" w:hAnsi="Times New Roman" w:cs="Times New Roman"/>
          <w:sz w:val="28"/>
          <w:szCs w:val="28"/>
        </w:rPr>
        <w:t xml:space="preserve">8. </w:t>
      </w:r>
      <w:r w:rsidRPr="00BE4A6B">
        <w:rPr>
          <w:rStyle w:val="Strong"/>
          <w:rFonts w:ascii="Times New Roman" w:eastAsiaTheme="majorEastAsia" w:hAnsi="Times New Roman" w:cs="Times New Roman"/>
          <w:sz w:val="28"/>
          <w:szCs w:val="28"/>
        </w:rPr>
        <w:t>Chính sách 8: Hoàn thiện quy định về công bố thông tin và báo cáo</w:t>
      </w:r>
    </w:p>
    <w:p w14:paraId="4AAA342F" w14:textId="1E9D6D61" w:rsidR="00BE4A6B" w:rsidRPr="00BE4A6B" w:rsidRDefault="00BE4A6B" w:rsidP="00BE4A6B">
      <w:pPr>
        <w:spacing w:before="120" w:after="120" w:line="240" w:lineRule="auto"/>
        <w:ind w:firstLine="720"/>
        <w:jc w:val="both"/>
        <w:rPr>
          <w:rStyle w:val="Strong"/>
          <w:rFonts w:ascii="Times New Roman" w:eastAsiaTheme="majorEastAsia" w:hAnsi="Times New Roman" w:cs="Times New Roman"/>
          <w:i/>
          <w:iCs/>
          <w:sz w:val="28"/>
          <w:szCs w:val="28"/>
        </w:rPr>
      </w:pPr>
      <w:r w:rsidRPr="00BE4A6B">
        <w:rPr>
          <w:rStyle w:val="Strong"/>
          <w:rFonts w:ascii="Times New Roman" w:eastAsiaTheme="majorEastAsia" w:hAnsi="Times New Roman" w:cs="Times New Roman"/>
          <w:i/>
          <w:iCs/>
          <w:sz w:val="28"/>
          <w:szCs w:val="28"/>
        </w:rPr>
        <w:t>8.1. Quy định nghĩa vụ công bố thông tin minh bạch, kịp thời của S</w:t>
      </w:r>
      <w:r>
        <w:rPr>
          <w:rStyle w:val="Strong"/>
          <w:rFonts w:ascii="Times New Roman" w:eastAsiaTheme="majorEastAsia" w:hAnsi="Times New Roman" w:cs="Times New Roman"/>
          <w:i/>
          <w:iCs/>
          <w:sz w:val="28"/>
          <w:szCs w:val="28"/>
        </w:rPr>
        <w:t xml:space="preserve">ở </w:t>
      </w:r>
      <w:r w:rsidRPr="00BE4A6B">
        <w:rPr>
          <w:rStyle w:val="Strong"/>
          <w:rFonts w:ascii="Times New Roman" w:eastAsiaTheme="majorEastAsia" w:hAnsi="Times New Roman" w:cs="Times New Roman"/>
          <w:i/>
          <w:iCs/>
          <w:sz w:val="28"/>
          <w:szCs w:val="28"/>
        </w:rPr>
        <w:t>GDHHPS, CCP, thành viên</w:t>
      </w:r>
      <w:r>
        <w:rPr>
          <w:rStyle w:val="Strong"/>
          <w:rFonts w:ascii="Times New Roman" w:eastAsiaTheme="majorEastAsia" w:hAnsi="Times New Roman" w:cs="Times New Roman"/>
          <w:i/>
          <w:iCs/>
          <w:sz w:val="28"/>
          <w:szCs w:val="28"/>
        </w:rPr>
        <w:t xml:space="preserve"> thị trường</w:t>
      </w:r>
    </w:p>
    <w:p w14:paraId="104D846C" w14:textId="47DA9425" w:rsidR="00BE4A6B" w:rsidRPr="00BE4A6B" w:rsidRDefault="00BE4A6B" w:rsidP="00BE4A6B">
      <w:pPr>
        <w:spacing w:before="120" w:after="120" w:line="240" w:lineRule="auto"/>
        <w:ind w:firstLine="720"/>
        <w:jc w:val="both"/>
        <w:rPr>
          <w:rFonts w:ascii="Times New Roman" w:hAnsi="Times New Roman" w:cs="Times New Roman"/>
          <w:sz w:val="28"/>
          <w:szCs w:val="28"/>
        </w:rPr>
      </w:pPr>
      <w:r w:rsidRPr="00BE4A6B">
        <w:rPr>
          <w:rFonts w:ascii="Times New Roman" w:hAnsi="Times New Roman" w:cs="Times New Roman"/>
          <w:sz w:val="28"/>
          <w:szCs w:val="28"/>
        </w:rPr>
        <w:t xml:space="preserve">Để bảo đảm tính công khai, minh bạch và hiệu quả trong hoạt động của thị trường hàng hóa phái sinh, </w:t>
      </w:r>
      <w:r>
        <w:rPr>
          <w:rFonts w:ascii="Times New Roman" w:hAnsi="Times New Roman" w:cs="Times New Roman"/>
          <w:sz w:val="28"/>
          <w:szCs w:val="28"/>
        </w:rPr>
        <w:t>dự thảo Luật</w:t>
      </w:r>
      <w:r w:rsidRPr="00BE4A6B">
        <w:rPr>
          <w:rFonts w:ascii="Times New Roman" w:hAnsi="Times New Roman" w:cs="Times New Roman"/>
          <w:sz w:val="28"/>
          <w:szCs w:val="28"/>
        </w:rPr>
        <w:t xml:space="preserve"> quy định cụ thể và chặt chẽ nghĩa vụ công bố thông tin của các chủ thể trọng yếu, đặc biệt là Sở Giao dịch hàng hóa phái sinh, tổ chức thanh toán bù trừ trung tâm và các thành viên thị trường. Nghĩa vụ này không chỉ mang tính hình thức mà phải được thực hiện như một yêu cầu bắt buộc, gắn với trách nhiệm pháp lý rõ ràng. Nội dung công bố  bao quát đầy đủ các yếu tố cốt lõi ảnh hưởng trực tiếp đến giao dịch, bao gồm giá cả, khối lượng giao dịch, số lượng và cơ cấu vị thế mở, tình trạng ký quỹ, biến động bất thường cũng như những sự kiện quan trọng có khả năng tác động đến hoạt động thị trường hoặc quyền lợi của nhà đầu tư. Việc thiết lập cơ chế công bố thông tin </w:t>
      </w:r>
      <w:r w:rsidR="0061763A">
        <w:rPr>
          <w:rFonts w:ascii="Times New Roman" w:hAnsi="Times New Roman" w:cs="Times New Roman"/>
          <w:sz w:val="28"/>
          <w:szCs w:val="28"/>
        </w:rPr>
        <w:t>giúp</w:t>
      </w:r>
      <w:r w:rsidRPr="00BE4A6B">
        <w:rPr>
          <w:rFonts w:ascii="Times New Roman" w:hAnsi="Times New Roman" w:cs="Times New Roman"/>
          <w:sz w:val="28"/>
          <w:szCs w:val="28"/>
        </w:rPr>
        <w:t xml:space="preserve"> bảo vệ quyền lợi hợp pháp của nhà đầu tư, giúp </w:t>
      </w:r>
      <w:r w:rsidR="0061763A">
        <w:rPr>
          <w:rFonts w:ascii="Times New Roman" w:hAnsi="Times New Roman" w:cs="Times New Roman"/>
          <w:sz w:val="28"/>
          <w:szCs w:val="28"/>
        </w:rPr>
        <w:t>nhà đầu tư</w:t>
      </w:r>
      <w:r w:rsidRPr="00BE4A6B">
        <w:rPr>
          <w:rFonts w:ascii="Times New Roman" w:hAnsi="Times New Roman" w:cs="Times New Roman"/>
          <w:sz w:val="28"/>
          <w:szCs w:val="28"/>
        </w:rPr>
        <w:t xml:space="preserve"> đưa ra quyết định sáng suốt dựa trên thông tin đầy đủ, mà còn là công cụ hỗ trợ quan trọng cho cơ quan quản lý trong việc giám sát thị trường, phát hiện sớm dấu hiệu rủi ro, gian lận hoặc thao túng. Đồng thời, cơ chế này còn góp phần xây dựng niềm tin của công chúng đối với thị trường, nâng cao uy tín của hệ thống giao dịch hàng hóa phái sinh của Việt Nam trong quá trình hội nhập với chuẩn mực quốc tế.</w:t>
      </w:r>
    </w:p>
    <w:p w14:paraId="378C10E3" w14:textId="7D3FB69C" w:rsidR="00BE4A6B" w:rsidRPr="00BE4A6B" w:rsidRDefault="00BE4A6B" w:rsidP="00BE4A6B">
      <w:pPr>
        <w:spacing w:before="120" w:after="120" w:line="240" w:lineRule="auto"/>
        <w:ind w:firstLine="720"/>
        <w:jc w:val="both"/>
        <w:rPr>
          <w:rStyle w:val="Strong"/>
          <w:rFonts w:ascii="Times New Roman" w:eastAsiaTheme="majorEastAsia" w:hAnsi="Times New Roman" w:cs="Times New Roman"/>
          <w:i/>
          <w:iCs/>
          <w:sz w:val="28"/>
          <w:szCs w:val="28"/>
        </w:rPr>
      </w:pPr>
      <w:r w:rsidRPr="00BE4A6B">
        <w:rPr>
          <w:rStyle w:val="Strong"/>
          <w:rFonts w:ascii="Times New Roman" w:eastAsiaTheme="majorEastAsia" w:hAnsi="Times New Roman" w:cs="Times New Roman"/>
          <w:i/>
          <w:iCs/>
          <w:sz w:val="28"/>
          <w:szCs w:val="28"/>
        </w:rPr>
        <w:t>8.2. Quy định chế độ báo cáo định kỳ, báo cáo đột xuất, báo cáo vị thế lớn</w:t>
      </w:r>
    </w:p>
    <w:p w14:paraId="43BC661A" w14:textId="77777777" w:rsidR="00F763B7" w:rsidRDefault="0061763A" w:rsidP="00BE4A6B">
      <w:pPr>
        <w:spacing w:before="120" w:after="120" w:line="240" w:lineRule="auto"/>
        <w:ind w:firstLine="720"/>
        <w:jc w:val="both"/>
        <w:rPr>
          <w:rFonts w:ascii="Times New Roman" w:hAnsi="Times New Roman" w:cs="Times New Roman"/>
          <w:sz w:val="28"/>
          <w:szCs w:val="28"/>
        </w:rPr>
      </w:pPr>
      <w:r w:rsidRPr="0061763A">
        <w:rPr>
          <w:rFonts w:ascii="Times New Roman" w:hAnsi="Times New Roman" w:cs="Times New Roman"/>
          <w:sz w:val="28"/>
          <w:szCs w:val="28"/>
        </w:rPr>
        <w:t xml:space="preserve">Để tăng cường hiệu quả giám sát và bảo đảm thị trường vận hành an toàn, </w:t>
      </w:r>
      <w:r w:rsidR="00F763B7">
        <w:rPr>
          <w:rFonts w:ascii="Times New Roman" w:hAnsi="Times New Roman" w:cs="Times New Roman"/>
          <w:sz w:val="28"/>
          <w:szCs w:val="28"/>
        </w:rPr>
        <w:t>dự thảo Luật</w:t>
      </w:r>
      <w:r w:rsidRPr="0061763A">
        <w:rPr>
          <w:rFonts w:ascii="Times New Roman" w:hAnsi="Times New Roman" w:cs="Times New Roman"/>
          <w:sz w:val="28"/>
          <w:szCs w:val="28"/>
        </w:rPr>
        <w:t xml:space="preserve"> quy định rõ chế độ báo cáo đối với các chủ thể tham gia thị trường, coi đây là công cụ bổ trợ quan trọng bên cạnh nghĩa vụ công bố thông tin ra công chúng. Trước hết, cơ chế báo cáo định kỳ sẽ giúp cơ quan quản lý có được bức tranh toàn diện về tình hình giao dịch, thanh toán bù trừ, ký quỹ và lưu ký, từ đó kịp thời nhận diện xu hướng biến động của thị trường và đưa ra đánh giá chính sách phù hợp. Bên cạnh đó, trong những tình huống phát sinh sự cố hệ thống, biến động bất thường về giá, khối lượng giao dịch hoặc khi có dấu hiệu rủi ro tập trung, các chủ thể có trách nhiệm thực hiện báo cáo đột xuất nhằm cung cấp cho cơ quan quản lý thông tin chính xác và kịp thời để triển khai biện pháp ứng phó, ngăn chặn nguy cơ lan rộng và bảo đảm ổn định thị trường.</w:t>
      </w:r>
    </w:p>
    <w:p w14:paraId="6832CADA" w14:textId="3AFAD4A4" w:rsidR="0061763A" w:rsidRPr="0061763A" w:rsidRDefault="0061763A" w:rsidP="00BE4A6B">
      <w:pPr>
        <w:spacing w:before="120" w:after="120" w:line="240" w:lineRule="auto"/>
        <w:ind w:firstLine="720"/>
        <w:jc w:val="both"/>
        <w:rPr>
          <w:rFonts w:ascii="Times New Roman" w:hAnsi="Times New Roman" w:cs="Times New Roman"/>
          <w:sz w:val="28"/>
          <w:szCs w:val="28"/>
        </w:rPr>
      </w:pPr>
      <w:r w:rsidRPr="0061763A">
        <w:rPr>
          <w:rFonts w:ascii="Times New Roman" w:hAnsi="Times New Roman" w:cs="Times New Roman"/>
          <w:sz w:val="28"/>
          <w:szCs w:val="28"/>
        </w:rPr>
        <w:t xml:space="preserve">Đặc biệt, quy định về báo cáo vị thế lớn có vai trò then chốt trong việc phát hiện sớm các dấu hiệu thao túng hoặc tích tụ quyền lực thị trường khi một hoặc một nhóm nhà đầu tư nắm giữ khối lượng hợp đồng vượt ngưỡng cho phép. Đây là thông lệ quốc tế đã được nhiều thị trường áp dụng và chứng minh hiệu quả </w:t>
      </w:r>
      <w:r w:rsidRPr="0061763A">
        <w:rPr>
          <w:rFonts w:ascii="Times New Roman" w:hAnsi="Times New Roman" w:cs="Times New Roman"/>
          <w:sz w:val="28"/>
          <w:szCs w:val="28"/>
        </w:rPr>
        <w:lastRenderedPageBreak/>
        <w:t>trong việc duy trì sự công bằng, minh bạch, hạn chế rủi ro hệ thống. Việc thiết lập cơ chế báo cáo toàn diện như vậy không chỉ tạo điều kiện để cơ quan quản lý giám sát chặt chẽ hơn, mà còn góp phần củng cố niềm tin của nhà đầu tư, nâng cao năng lực ứng phó của thị trường hàng hóa phái sinh Việt Nam trước những biến động khó lường.</w:t>
      </w:r>
    </w:p>
    <w:p w14:paraId="40CFEB56" w14:textId="77777777" w:rsidR="00F763B7" w:rsidRDefault="00BE4A6B" w:rsidP="00BE4A6B">
      <w:pPr>
        <w:spacing w:before="120" w:after="120" w:line="240" w:lineRule="auto"/>
        <w:ind w:firstLine="720"/>
        <w:jc w:val="both"/>
        <w:rPr>
          <w:rStyle w:val="Strong"/>
          <w:rFonts w:ascii="Times New Roman" w:eastAsiaTheme="majorEastAsia" w:hAnsi="Times New Roman" w:cs="Times New Roman"/>
          <w:i/>
          <w:iCs/>
          <w:sz w:val="28"/>
          <w:szCs w:val="28"/>
        </w:rPr>
      </w:pPr>
      <w:r w:rsidRPr="00BE4A6B">
        <w:rPr>
          <w:rStyle w:val="Strong"/>
          <w:rFonts w:ascii="Times New Roman" w:eastAsiaTheme="majorEastAsia" w:hAnsi="Times New Roman" w:cs="Times New Roman"/>
          <w:i/>
          <w:iCs/>
          <w:sz w:val="28"/>
          <w:szCs w:val="28"/>
        </w:rPr>
        <w:t>8.3. Quy định nguyên tắc cân bằng giữa minh bạch dữ liệu và bảo mật thông tin</w:t>
      </w:r>
    </w:p>
    <w:p w14:paraId="58EA3455" w14:textId="77777777" w:rsidR="00AC312C" w:rsidRDefault="00F763B7" w:rsidP="00BE4A6B">
      <w:pPr>
        <w:spacing w:before="120" w:after="120" w:line="240" w:lineRule="auto"/>
        <w:ind w:firstLine="720"/>
        <w:jc w:val="both"/>
        <w:rPr>
          <w:rFonts w:ascii="Times New Roman" w:hAnsi="Times New Roman" w:cs="Times New Roman"/>
          <w:sz w:val="28"/>
          <w:szCs w:val="28"/>
        </w:rPr>
      </w:pPr>
      <w:r w:rsidRPr="00F763B7">
        <w:rPr>
          <w:rFonts w:ascii="Times New Roman" w:hAnsi="Times New Roman" w:cs="Times New Roman"/>
          <w:sz w:val="28"/>
          <w:szCs w:val="28"/>
        </w:rPr>
        <w:t xml:space="preserve">Một trong những vấn đề cốt lõi trong quản lý thị trường hàng hóa phái sinh là xác định đúng mức độ minh bạch thông tin cần thiết cho công chúng, đồng thời duy trì cơ chế bảo mật đối với những dữ liệu có tính chiến lược hoặc nhạy cảm. Nếu chỉ chú trọng minh bạch tuyệt đối mà thiếu đi hàng rào bảo mật, thông tin có thể bị lợi dụng để đầu cơ, thao túng hoặc gây thiệt hại nghiêm trọng cho quyền lợi của nhà đầu tư cũng như sự ổn định của thị trường. Ngược lại, nếu quá thiên về bảo mật, nhà đầu tư sẽ không có đủ dữ liệu để đưa ra quyết định chính xác, còn cơ quan quản lý khó tạo được môi trường minh bạch và công bằng. </w:t>
      </w:r>
    </w:p>
    <w:p w14:paraId="50AD2383" w14:textId="6FA287C2" w:rsidR="00BE4A6B" w:rsidRPr="00F763B7" w:rsidRDefault="00AC312C" w:rsidP="00BE4A6B">
      <w:pPr>
        <w:spacing w:before="120" w:after="120" w:line="240" w:lineRule="auto"/>
        <w:ind w:firstLine="720"/>
        <w:jc w:val="both"/>
        <w:rPr>
          <w:rStyle w:val="Strong"/>
          <w:rFonts w:ascii="Times New Roman" w:eastAsiaTheme="majorEastAsia" w:hAnsi="Times New Roman" w:cs="Times New Roman"/>
          <w:b w:val="0"/>
          <w:bCs w:val="0"/>
          <w:sz w:val="28"/>
          <w:szCs w:val="28"/>
        </w:rPr>
      </w:pPr>
      <w:r>
        <w:rPr>
          <w:rFonts w:ascii="Times New Roman" w:hAnsi="Times New Roman" w:cs="Times New Roman"/>
          <w:sz w:val="28"/>
          <w:szCs w:val="28"/>
        </w:rPr>
        <w:t>Dự thảo Luật quy định</w:t>
      </w:r>
      <w:r w:rsidR="00F763B7" w:rsidRPr="00F763B7">
        <w:rPr>
          <w:rFonts w:ascii="Times New Roman" w:hAnsi="Times New Roman" w:cs="Times New Roman"/>
          <w:sz w:val="28"/>
          <w:szCs w:val="28"/>
        </w:rPr>
        <w:t xml:space="preserve"> những thông tin có tính chất công khai, như giá, khối lượng giao dịch, biến động vị thế mở hoặc các sự kiện ảnh hưởng chung đến thị trường, phải được công bố đầy đủ, kịp thời và dễ tiếp cận cho mọi nhà đầu tư. Trong khi đó, những dữ liệu chi tiết về chiến lược giao dịch, thông tin định danh nhà đầu tư, tình trạng tài sản hoặc các thông tin có nguy cơ ảnh hưởng đến an ninh tài chính quốc gia chỉ được phép lưu hành trong phạm vi hạn chế, phục vụ cơ quan quản lý hoặc các chủ thể có thẩm quyền theo luật định. Cách tiếp cận này không chỉ bảo đảm nguyên tắc minh bạch gắn với trách nhiệm giải trình, mà còn củng cố niềm tin cho doanh nghiệp và nhà đầu tư khi tham gia thị trường, vì họ được bảo đảm rằng thông tin nhạy cảm sẽ không bị lạm dụng. Đồng thời, cơ chế cân bằng giữa minh bạch và bảo mật còn là nền tảng để thị trường hàng hóa phái sinh của Việt Nam hội nhập với chuẩn mực quốc tế, nơi việc quản lý thông tin được coi là yếu tố then chốt để duy trì tính bền vững và an toàn hệ thống.</w:t>
      </w:r>
    </w:p>
    <w:p w14:paraId="1D383DD2" w14:textId="77777777" w:rsidR="00BE4A6B" w:rsidRPr="00B34ED9" w:rsidRDefault="00BE4A6B" w:rsidP="00AC312C">
      <w:pPr>
        <w:spacing w:before="120" w:after="120" w:line="240" w:lineRule="auto"/>
        <w:ind w:firstLine="720"/>
        <w:jc w:val="both"/>
        <w:rPr>
          <w:rStyle w:val="Strong"/>
          <w:rFonts w:ascii="Times New Roman" w:eastAsiaTheme="majorEastAsia" w:hAnsi="Times New Roman" w:cs="Times New Roman"/>
          <w:i/>
          <w:iCs/>
          <w:sz w:val="28"/>
          <w:szCs w:val="28"/>
        </w:rPr>
      </w:pPr>
      <w:r w:rsidRPr="00B34ED9">
        <w:rPr>
          <w:rStyle w:val="Strong"/>
          <w:rFonts w:ascii="Times New Roman" w:eastAsiaTheme="majorEastAsia" w:hAnsi="Times New Roman" w:cs="Times New Roman"/>
          <w:i/>
          <w:iCs/>
          <w:sz w:val="28"/>
          <w:szCs w:val="28"/>
        </w:rPr>
        <w:t>8.4. Giao Chính phủ quy định chi tiết nội dung, hình thức, tần suất công bố và phân quyền truy cập dữ liệu</w:t>
      </w:r>
    </w:p>
    <w:p w14:paraId="5818A884" w14:textId="1E73D5B9" w:rsidR="00AC312C" w:rsidRDefault="00AC312C" w:rsidP="00AC312C">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AC312C">
        <w:rPr>
          <w:rFonts w:ascii="Times New Roman" w:eastAsia="Times New Roman" w:hAnsi="Times New Roman" w:cs="Times New Roman"/>
          <w:kern w:val="0"/>
          <w:sz w:val="28"/>
          <w:szCs w:val="28"/>
          <w:lang w:val="en-GB" w:eastAsia="en-GB"/>
          <w14:ligatures w14:val="none"/>
        </w:rPr>
        <w:t xml:space="preserve">Để thiết lập một khuôn khổ pháp lý vừa chặt chẽ vừa linh hoạt cho hoạt động công bố thông tin và báo cáo trong thị trường hàng hóa phái sinh, </w:t>
      </w:r>
      <w:r w:rsidR="009E1068">
        <w:rPr>
          <w:rFonts w:ascii="Times New Roman" w:eastAsia="Times New Roman" w:hAnsi="Times New Roman" w:cs="Times New Roman"/>
          <w:kern w:val="0"/>
          <w:sz w:val="28"/>
          <w:szCs w:val="28"/>
          <w:lang w:val="en-GB" w:eastAsia="en-GB"/>
          <w14:ligatures w14:val="none"/>
        </w:rPr>
        <w:t>dự thảo Luật</w:t>
      </w:r>
      <w:r w:rsidRPr="00AC312C">
        <w:rPr>
          <w:rFonts w:ascii="Times New Roman" w:eastAsia="Times New Roman" w:hAnsi="Times New Roman" w:cs="Times New Roman"/>
          <w:kern w:val="0"/>
          <w:sz w:val="28"/>
          <w:szCs w:val="28"/>
          <w:lang w:val="en-GB" w:eastAsia="en-GB"/>
          <w14:ligatures w14:val="none"/>
        </w:rPr>
        <w:t xml:space="preserve"> quy định các nguyên tắc chung</w:t>
      </w:r>
      <w:r w:rsidR="009E1068">
        <w:rPr>
          <w:rFonts w:ascii="Times New Roman" w:eastAsia="Times New Roman" w:hAnsi="Times New Roman" w:cs="Times New Roman"/>
          <w:kern w:val="0"/>
          <w:sz w:val="28"/>
          <w:szCs w:val="28"/>
          <w:lang w:val="en-GB" w:eastAsia="en-GB"/>
          <w14:ligatures w14:val="none"/>
        </w:rPr>
        <w:t xml:space="preserve"> về chế độ báo cáo và công bố thông tin. </w:t>
      </w:r>
      <w:r w:rsidR="00B34ED9">
        <w:rPr>
          <w:rFonts w:ascii="Times New Roman" w:eastAsia="Times New Roman" w:hAnsi="Times New Roman" w:cs="Times New Roman"/>
          <w:kern w:val="0"/>
          <w:sz w:val="28"/>
          <w:szCs w:val="28"/>
          <w:lang w:val="en-GB" w:eastAsia="en-GB"/>
          <w14:ligatures w14:val="none"/>
        </w:rPr>
        <w:t>C</w:t>
      </w:r>
      <w:r w:rsidRPr="00AC312C">
        <w:rPr>
          <w:rFonts w:ascii="Times New Roman" w:eastAsia="Times New Roman" w:hAnsi="Times New Roman" w:cs="Times New Roman"/>
          <w:kern w:val="0"/>
          <w:sz w:val="28"/>
          <w:szCs w:val="28"/>
          <w:lang w:val="en-GB" w:eastAsia="en-GB"/>
          <w14:ligatures w14:val="none"/>
        </w:rPr>
        <w:t xml:space="preserve">hi tiết về nội dung, hình thức, tần suất cũng như cơ chế phân quyền truy cập dữ liệu  giao cho Chính phủ quy </w:t>
      </w:r>
      <w:r w:rsidR="00B34ED9">
        <w:rPr>
          <w:rFonts w:ascii="Times New Roman" w:eastAsia="Times New Roman" w:hAnsi="Times New Roman" w:cs="Times New Roman"/>
          <w:kern w:val="0"/>
          <w:sz w:val="28"/>
          <w:szCs w:val="28"/>
          <w:lang w:val="en-GB" w:eastAsia="en-GB"/>
          <w14:ligatures w14:val="none"/>
        </w:rPr>
        <w:t>định chi tiết hoặc</w:t>
      </w:r>
      <w:r w:rsidRPr="00AC312C">
        <w:rPr>
          <w:rFonts w:ascii="Times New Roman" w:eastAsia="Times New Roman" w:hAnsi="Times New Roman" w:cs="Times New Roman"/>
          <w:kern w:val="0"/>
          <w:sz w:val="28"/>
          <w:szCs w:val="28"/>
          <w:lang w:val="en-GB" w:eastAsia="en-GB"/>
          <w14:ligatures w14:val="none"/>
        </w:rPr>
        <w:t xml:space="preserve"> thông qua hướng dẫn cụ thể của cơ quan quản lý chuyên ngành. Cách tiếp cận này cho phép hệ thống pháp luật có khả năng thích ứng nhanh với sự phát triển của thị trường, khi các sản phẩm phái sinh mới, công nghệ giám sát hiện đại hay chuẩn mực quốc tế thay đổi. Đồng thời, việc phân quyền truy cập dữ liệu cần được thiết kế minh bạch, theo đó nhà đầu tư có thể tiếp cận các thông tin cơ bản phục vụ quyết định giao dịch, thành viên thị trường có quyền tiếp cận dữ liệu chi tiết hơn liên quan đến hoạt động nghiệp vụ, còn cơ quan quản lý được quyền khai thác toàn bộ dữ liệu phục vụ công tác giám sát và xử lý rủi ro hệ thống. Cách phân tầng thông tin này không chỉ bảo đảm nguyên tắc công bằng và an toàn, mà còn hạn chế tình trạng lạm dụng hoặc rò rỉ dữ liệu nhạy cảm. Bên cạnh đó, việc giao thẩm quyền cho Chính phủ cũng giúp các quy định có tính khả thi cao hơn, vì có thể được điều chỉnh kịp thời để phù hợp với thực tiễn và thông lệ quốc tế, đồng thời vẫn giữ được sự minh bạch và ổn định cần thiết cho niềm tin của nhà đầu tư và doanh nghiệp tham gia thị trường.</w:t>
      </w:r>
    </w:p>
    <w:p w14:paraId="59834F01" w14:textId="146CE1F0" w:rsidR="00B34ED9" w:rsidRPr="00B34ED9" w:rsidRDefault="00B34ED9" w:rsidP="00B34ED9">
      <w:pPr>
        <w:spacing w:before="120" w:after="120" w:line="240" w:lineRule="auto"/>
        <w:ind w:firstLine="720"/>
        <w:jc w:val="both"/>
        <w:rPr>
          <w:rFonts w:ascii="Times New Roman" w:eastAsia="Times New Roman" w:hAnsi="Times New Roman" w:cs="Times New Roman"/>
          <w:b/>
          <w:bCs/>
          <w:kern w:val="0"/>
          <w:sz w:val="28"/>
          <w:szCs w:val="28"/>
          <w:lang w:val="en-GB" w:eastAsia="en-GB"/>
          <w14:ligatures w14:val="none"/>
        </w:rPr>
      </w:pPr>
      <w:r w:rsidRPr="00B34ED9">
        <w:rPr>
          <w:rFonts w:ascii="Times New Roman" w:eastAsia="Times New Roman" w:hAnsi="Times New Roman" w:cs="Times New Roman"/>
          <w:b/>
          <w:bCs/>
          <w:kern w:val="0"/>
          <w:sz w:val="28"/>
          <w:szCs w:val="28"/>
          <w:lang w:val="en-GB" w:eastAsia="en-GB"/>
          <w14:ligatures w14:val="none"/>
        </w:rPr>
        <w:t>9. Chính sách 9: Quy định về phòng ngừa rủi ro, xử lý vi phạm và giải quyết tranh chấp</w:t>
      </w:r>
    </w:p>
    <w:p w14:paraId="071CE4DC" w14:textId="42196800" w:rsidR="00B34ED9" w:rsidRPr="00B34ED9" w:rsidRDefault="00B34ED9" w:rsidP="00B34ED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B34ED9">
        <w:rPr>
          <w:rFonts w:ascii="Times New Roman" w:eastAsia="Times New Roman" w:hAnsi="Times New Roman" w:cs="Times New Roman"/>
          <w:kern w:val="0"/>
          <w:sz w:val="28"/>
          <w:szCs w:val="28"/>
          <w:lang w:val="en-GB" w:eastAsia="en-GB"/>
          <w14:ligatures w14:val="none"/>
        </w:rPr>
        <w:t>Trong bối cảnh thị trường hàng hóa phái sinh tiềm ẩn nhiều yếu tố biến động và rủi ro lan truyền nhanh, việc xây dựng một khung pháp lý toàn diện về phòng ngừa rủi ro, xử lý vi phạm và giải quyết tranh chấp là yêu cầu bắt buộc nhằm bảo đảm an toàn hệ thống, bảo vệ quyền lợi của nhà đầu tư và duy trì tính ổn định, minh bạch của thị trường.</w:t>
      </w:r>
    </w:p>
    <w:p w14:paraId="7A8481CB" w14:textId="63B7921A" w:rsidR="00B34ED9" w:rsidRPr="00B34ED9" w:rsidRDefault="00B34ED9" w:rsidP="00B34ED9">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B34ED9">
        <w:rPr>
          <w:rFonts w:ascii="Times New Roman" w:eastAsia="Times New Roman" w:hAnsi="Times New Roman" w:cs="Times New Roman"/>
          <w:b/>
          <w:bCs/>
          <w:i/>
          <w:iCs/>
          <w:kern w:val="0"/>
          <w:sz w:val="28"/>
          <w:szCs w:val="28"/>
          <w:lang w:val="en-GB" w:eastAsia="en-GB"/>
          <w14:ligatures w14:val="none"/>
        </w:rPr>
        <w:t>9.1. Về nguyên tắc quản trị rủi ro hệ thống, giám sát dựa trên rủi ro và cơ chế cảnh báo sớm</w:t>
      </w:r>
    </w:p>
    <w:p w14:paraId="2DD21E9D" w14:textId="5B8AB3B0" w:rsidR="00B34ED9" w:rsidRPr="00B34ED9" w:rsidRDefault="00B34ED9" w:rsidP="00B34ED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Dự thảo </w:t>
      </w:r>
      <w:r w:rsidRPr="00B34ED9">
        <w:rPr>
          <w:rFonts w:ascii="Times New Roman" w:eastAsia="Times New Roman" w:hAnsi="Times New Roman" w:cs="Times New Roman"/>
          <w:kern w:val="0"/>
          <w:sz w:val="28"/>
          <w:szCs w:val="28"/>
          <w:lang w:val="en-GB" w:eastAsia="en-GB"/>
          <w14:ligatures w14:val="none"/>
        </w:rPr>
        <w:t xml:space="preserve">Luật quy định rõ trách nhiệm của các chủ thể như SGDHHPS, CCP và thành viên thị trường trong việc áp dụng mô hình quản trị rủi ro theo chuẩn mực quốc tế, bảo đảm an toàn cho hoạt động giao dịch, thanh toán và lưu ký. Cơ chế giám sát dựa trên rủi ro cho phép cơ quan quản lý tập trung vào các đối tượng, lĩnh vực và sản phẩm tiềm ẩn nguy cơ cao, thay vì áp dụng dàn trải. Đồng thời, </w:t>
      </w:r>
      <w:r>
        <w:rPr>
          <w:rFonts w:ascii="Times New Roman" w:eastAsia="Times New Roman" w:hAnsi="Times New Roman" w:cs="Times New Roman"/>
          <w:kern w:val="0"/>
          <w:sz w:val="28"/>
          <w:szCs w:val="28"/>
          <w:lang w:val="en-GB" w:eastAsia="en-GB"/>
          <w14:ligatures w14:val="none"/>
        </w:rPr>
        <w:t>quy định việc</w:t>
      </w:r>
      <w:r w:rsidRPr="00B34ED9">
        <w:rPr>
          <w:rFonts w:ascii="Times New Roman" w:eastAsia="Times New Roman" w:hAnsi="Times New Roman" w:cs="Times New Roman"/>
          <w:kern w:val="0"/>
          <w:sz w:val="28"/>
          <w:szCs w:val="28"/>
          <w:lang w:val="en-GB" w:eastAsia="en-GB"/>
          <w14:ligatures w14:val="none"/>
        </w:rPr>
        <w:t xml:space="preserve"> thiết lập hệ thống cảnh báo sớm dựa trên dữ liệu giao dịch, vị thế mở, tình trạng ký quỹ và biến động bất thường, giúp phát hiện kịp thời dấu hiệu rủi ro để có biện pháp ứng phó trước khi xảy ra sự cố lan rộng.</w:t>
      </w:r>
    </w:p>
    <w:p w14:paraId="70ED2ED2" w14:textId="731C4B6A" w:rsidR="00B34ED9" w:rsidRPr="00B34ED9" w:rsidRDefault="00B34ED9" w:rsidP="00B34ED9">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B34ED9">
        <w:rPr>
          <w:rFonts w:ascii="Times New Roman" w:eastAsia="Times New Roman" w:hAnsi="Times New Roman" w:cs="Times New Roman"/>
          <w:b/>
          <w:bCs/>
          <w:i/>
          <w:iCs/>
          <w:kern w:val="0"/>
          <w:sz w:val="28"/>
          <w:szCs w:val="28"/>
          <w:lang w:val="en-GB" w:eastAsia="en-GB"/>
          <w14:ligatures w14:val="none"/>
        </w:rPr>
        <w:t>9.2. Về biện pháp can thiệp khẩn cấp</w:t>
      </w:r>
    </w:p>
    <w:p w14:paraId="2849CBEC" w14:textId="772F51E6" w:rsidR="00B34ED9" w:rsidRPr="00B34ED9" w:rsidRDefault="00B34ED9" w:rsidP="00B34ED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B34ED9">
        <w:rPr>
          <w:rFonts w:ascii="Times New Roman" w:eastAsia="Times New Roman" w:hAnsi="Times New Roman" w:cs="Times New Roman"/>
          <w:kern w:val="0"/>
          <w:sz w:val="28"/>
          <w:szCs w:val="28"/>
          <w:lang w:val="en-GB" w:eastAsia="en-GB"/>
          <w14:ligatures w14:val="none"/>
        </w:rPr>
        <w:t xml:space="preserve">Để bảo đảm khả năng ứng phó nhanh trong trường hợp thị trường xuất hiện rủi ro hệ thống hoặc biến động bất thường, </w:t>
      </w:r>
      <w:r>
        <w:rPr>
          <w:rFonts w:ascii="Times New Roman" w:eastAsia="Times New Roman" w:hAnsi="Times New Roman" w:cs="Times New Roman"/>
          <w:kern w:val="0"/>
          <w:sz w:val="28"/>
          <w:szCs w:val="28"/>
          <w:lang w:val="en-GB" w:eastAsia="en-GB"/>
          <w14:ligatures w14:val="none"/>
        </w:rPr>
        <w:t>dự thảo Luật</w:t>
      </w:r>
      <w:r w:rsidRPr="00B34ED9">
        <w:rPr>
          <w:rFonts w:ascii="Times New Roman" w:eastAsia="Times New Roman" w:hAnsi="Times New Roman" w:cs="Times New Roman"/>
          <w:kern w:val="0"/>
          <w:sz w:val="28"/>
          <w:szCs w:val="28"/>
          <w:lang w:val="en-GB" w:eastAsia="en-GB"/>
          <w14:ligatures w14:val="none"/>
        </w:rPr>
        <w:t xml:space="preserve"> quy định các công cụ can thiệp khẩn </w:t>
      </w:r>
      <w:r w:rsidRPr="00B34ED9">
        <w:rPr>
          <w:rFonts w:ascii="Times New Roman" w:eastAsia="Times New Roman" w:hAnsi="Times New Roman" w:cs="Times New Roman"/>
          <w:kern w:val="0"/>
          <w:sz w:val="28"/>
          <w:szCs w:val="28"/>
          <w:lang w:val="en-GB" w:eastAsia="en-GB"/>
          <w14:ligatures w14:val="none"/>
        </w:rPr>
        <w:lastRenderedPageBreak/>
        <w:t>cấp mà cơ quan quản lý có thể áp dụng. Các biện pháp này bao gồm yêu cầu điều chỉnh mức ký quỹ, áp đặt giới hạn vị thế đối với một số nhóm nhà đầu tư, hoặc tạm dừng giao dịch đối với sản phẩm hay thị trường cụ thể khi có dấu hiệu mất ổn định. Việc quy định ở cấp Luật sẽ tạo cơ sở pháp lý vững chắc, bảo đảm các biện pháp này được áp dụng minh bạch, có giới hạn và tuân thủ nguyên tắc bảo vệ an toàn hệ thống mà không xâm phạm quá mức đến quyền tự do kinh doanh.</w:t>
      </w:r>
    </w:p>
    <w:p w14:paraId="3220ECC2" w14:textId="6D65CDE7" w:rsidR="00B34ED9" w:rsidRPr="00B34ED9" w:rsidRDefault="00B34ED9" w:rsidP="00B34ED9">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B34ED9">
        <w:rPr>
          <w:rFonts w:ascii="Times New Roman" w:eastAsia="Times New Roman" w:hAnsi="Times New Roman" w:cs="Times New Roman"/>
          <w:b/>
          <w:bCs/>
          <w:i/>
          <w:iCs/>
          <w:kern w:val="0"/>
          <w:sz w:val="28"/>
          <w:szCs w:val="28"/>
          <w:lang w:val="en-GB" w:eastAsia="en-GB"/>
          <w14:ligatures w14:val="none"/>
        </w:rPr>
        <w:t>9.3. Về chế tài xử phạt vi phạm và cơ chế bảo vệ quyền lợi nhà đầu tư</w:t>
      </w:r>
    </w:p>
    <w:p w14:paraId="09A98486" w14:textId="77777777" w:rsidR="00B34ED9" w:rsidRDefault="00B34ED9" w:rsidP="00B34ED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Pr>
          <w:rFonts w:ascii="Times New Roman" w:eastAsia="Times New Roman" w:hAnsi="Times New Roman" w:cs="Times New Roman"/>
          <w:kern w:val="0"/>
          <w:sz w:val="28"/>
          <w:szCs w:val="28"/>
          <w:lang w:val="en-GB" w:eastAsia="en-GB"/>
          <w14:ligatures w14:val="none"/>
        </w:rPr>
        <w:t xml:space="preserve">Dự thảo </w:t>
      </w:r>
      <w:r w:rsidRPr="00B34ED9">
        <w:rPr>
          <w:rFonts w:ascii="Times New Roman" w:eastAsia="Times New Roman" w:hAnsi="Times New Roman" w:cs="Times New Roman"/>
          <w:kern w:val="0"/>
          <w:sz w:val="28"/>
          <w:szCs w:val="28"/>
          <w:lang w:val="en-GB" w:eastAsia="en-GB"/>
          <w14:ligatures w14:val="none"/>
        </w:rPr>
        <w:t>Luật thiết lập khung chế tài xử lý nghiêm các hành vi vi phạm, từ thao túng thị trường, giao dịch nội gián, cung cấp thông tin sai lệch cho đến vi phạm nghĩa vụ ký quỹ hoặc chiếm dụng tài sản của khách hàng. Chế tài có thể bao gồm xử phạt hành chính, đình chỉ hoạt động, thu hồi giấy phép và truy cứu trách nhiệm hình sự trong trường hợp nghiêm trọng.</w:t>
      </w:r>
    </w:p>
    <w:p w14:paraId="70657D9D" w14:textId="474DC1B3" w:rsidR="00B34ED9" w:rsidRPr="00B34ED9" w:rsidRDefault="00B34ED9" w:rsidP="00B34ED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B34ED9">
        <w:rPr>
          <w:rFonts w:ascii="Times New Roman" w:eastAsia="Times New Roman" w:hAnsi="Times New Roman" w:cs="Times New Roman"/>
          <w:kern w:val="0"/>
          <w:sz w:val="28"/>
          <w:szCs w:val="28"/>
          <w:lang w:val="en-GB" w:eastAsia="en-GB"/>
          <w14:ligatures w14:val="none"/>
        </w:rPr>
        <w:t xml:space="preserve">Song song với đó, để củng cố niềm tin của nhà đầu tư, </w:t>
      </w:r>
      <w:r>
        <w:rPr>
          <w:rFonts w:ascii="Times New Roman" w:eastAsia="Times New Roman" w:hAnsi="Times New Roman" w:cs="Times New Roman"/>
          <w:kern w:val="0"/>
          <w:sz w:val="28"/>
          <w:szCs w:val="28"/>
          <w:lang w:val="en-GB" w:eastAsia="en-GB"/>
          <w14:ligatures w14:val="none"/>
        </w:rPr>
        <w:t>dự thảo Luật cũng</w:t>
      </w:r>
      <w:r w:rsidRPr="00B34ED9">
        <w:rPr>
          <w:rFonts w:ascii="Times New Roman" w:eastAsia="Times New Roman" w:hAnsi="Times New Roman" w:cs="Times New Roman"/>
          <w:kern w:val="0"/>
          <w:sz w:val="28"/>
          <w:szCs w:val="28"/>
          <w:lang w:val="en-GB" w:eastAsia="en-GB"/>
          <w14:ligatures w14:val="none"/>
        </w:rPr>
        <w:t xml:space="preserve"> quy định cơ chế bảo vệ thông qua Quỹ bảo vệ nhà đầu tư hoặc cơ chế bồi thường trong trường hợp thành viên thị trường vi phạm nghĩa vụ hoặc mất khả năng thanh toán. Đây là công cụ phổ biến trong các thị trường phái sinh quốc tế, góp phần tăng tính an toàn và khuyến khích sự tham gia của nhà đầu tư nhỏ lẻ.</w:t>
      </w:r>
    </w:p>
    <w:p w14:paraId="0090D9EA" w14:textId="0D0CD2A3" w:rsidR="00B34ED9" w:rsidRPr="00B34ED9" w:rsidRDefault="00B34ED9" w:rsidP="00B34ED9">
      <w:pPr>
        <w:spacing w:before="120" w:after="120" w:line="240" w:lineRule="auto"/>
        <w:ind w:firstLine="720"/>
        <w:jc w:val="both"/>
        <w:rPr>
          <w:rFonts w:ascii="Times New Roman" w:eastAsia="Times New Roman" w:hAnsi="Times New Roman" w:cs="Times New Roman"/>
          <w:b/>
          <w:bCs/>
          <w:i/>
          <w:iCs/>
          <w:kern w:val="0"/>
          <w:sz w:val="28"/>
          <w:szCs w:val="28"/>
          <w:lang w:val="en-GB" w:eastAsia="en-GB"/>
          <w14:ligatures w14:val="none"/>
        </w:rPr>
      </w:pPr>
      <w:r w:rsidRPr="00B34ED9">
        <w:rPr>
          <w:rFonts w:ascii="Times New Roman" w:eastAsia="Times New Roman" w:hAnsi="Times New Roman" w:cs="Times New Roman"/>
          <w:b/>
          <w:bCs/>
          <w:i/>
          <w:iCs/>
          <w:kern w:val="0"/>
          <w:sz w:val="28"/>
          <w:szCs w:val="28"/>
          <w:lang w:val="en-GB" w:eastAsia="en-GB"/>
          <w14:ligatures w14:val="none"/>
        </w:rPr>
        <w:t>9.4. Về cơ chế giải quyết tranh chấp</w:t>
      </w:r>
    </w:p>
    <w:p w14:paraId="5CDAD519" w14:textId="4FCCA19C" w:rsidR="00B34ED9" w:rsidRPr="00AC312C" w:rsidRDefault="00B34ED9" w:rsidP="00B34ED9">
      <w:pPr>
        <w:spacing w:before="120" w:after="120" w:line="240" w:lineRule="auto"/>
        <w:ind w:firstLine="720"/>
        <w:jc w:val="both"/>
        <w:rPr>
          <w:rFonts w:ascii="Times New Roman" w:eastAsia="Times New Roman" w:hAnsi="Times New Roman" w:cs="Times New Roman"/>
          <w:kern w:val="0"/>
          <w:sz w:val="28"/>
          <w:szCs w:val="28"/>
          <w:lang w:val="en-GB" w:eastAsia="en-GB"/>
          <w14:ligatures w14:val="none"/>
        </w:rPr>
      </w:pPr>
      <w:r w:rsidRPr="00B34ED9">
        <w:rPr>
          <w:rFonts w:ascii="Times New Roman" w:eastAsia="Times New Roman" w:hAnsi="Times New Roman" w:cs="Times New Roman"/>
          <w:kern w:val="0"/>
          <w:sz w:val="28"/>
          <w:szCs w:val="28"/>
          <w:lang w:val="en-GB" w:eastAsia="en-GB"/>
          <w14:ligatures w14:val="none"/>
        </w:rPr>
        <w:t xml:space="preserve">Hoạt động giao dịch hàng hóa phái sinh có thể phát sinh nhiều tranh chấp liên quan đến hợp đồng, thanh toán, lưu ký và trách nhiệm pháp lý của các bên. Do đó, </w:t>
      </w:r>
      <w:r>
        <w:rPr>
          <w:rFonts w:ascii="Times New Roman" w:eastAsia="Times New Roman" w:hAnsi="Times New Roman" w:cs="Times New Roman"/>
          <w:kern w:val="0"/>
          <w:sz w:val="28"/>
          <w:szCs w:val="28"/>
          <w:lang w:val="en-GB" w:eastAsia="en-GB"/>
          <w14:ligatures w14:val="none"/>
        </w:rPr>
        <w:t xml:space="preserve">dự thảo </w:t>
      </w:r>
      <w:r w:rsidRPr="00B34ED9">
        <w:rPr>
          <w:rFonts w:ascii="Times New Roman" w:eastAsia="Times New Roman" w:hAnsi="Times New Roman" w:cs="Times New Roman"/>
          <w:kern w:val="0"/>
          <w:sz w:val="28"/>
          <w:szCs w:val="28"/>
          <w:lang w:val="en-GB" w:eastAsia="en-GB"/>
          <w14:ligatures w14:val="none"/>
        </w:rPr>
        <w:t>Luật  xác định rõ các cơ chế giải quyết tranh chấp đa tầng, bao gồm thương lượng, hòa giải, trọng tài thương mại và cuối cùng là tòa án. Việc khuyến khích trọng tài thương mại hoặc hòa giải sẽ giúp giải quyết tranh chấp nhanh chóng, tiết kiệm chi phí và bảo mật thông tin, trong khi cơ chế tòa án vẫn đóng vai trò là chỗ dựa cuối cùng bảo đảm tính cưỡng chế thi hành. Quy định này vừa phù hợp với thông lệ quốc tế, vừa bảo đảm sự linh hoạt và hiệu quả trong giải quyết xung đột, góp phần duy trì ổn định và niềm tin trên thị trường.</w:t>
      </w:r>
    </w:p>
    <w:p w14:paraId="5FBEDEAF" w14:textId="5D3512A2" w:rsidR="0072774D" w:rsidRPr="00BE4A6B" w:rsidRDefault="0072774D" w:rsidP="00AC312C">
      <w:pPr>
        <w:spacing w:before="120" w:after="120" w:line="240" w:lineRule="auto"/>
        <w:ind w:firstLine="720"/>
        <w:jc w:val="both"/>
        <w:rPr>
          <w:rFonts w:ascii="Times New Roman" w:hAnsi="Times New Roman" w:cs="Times New Roman"/>
          <w:b/>
          <w:bCs/>
          <w:i/>
          <w:iCs/>
          <w:sz w:val="28"/>
          <w:szCs w:val="28"/>
        </w:rPr>
      </w:pPr>
    </w:p>
    <w:sectPr w:rsidR="0072774D" w:rsidRPr="00BE4A6B" w:rsidSect="009071B4">
      <w:pgSz w:w="11907" w:h="16840" w:code="9"/>
      <w:pgMar w:top="1134" w:right="1134" w:bottom="1134" w:left="1701" w:header="397" w:footer="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2C44" w14:textId="77777777" w:rsidR="007F7EC5" w:rsidRDefault="007F7EC5" w:rsidP="004C4449">
      <w:pPr>
        <w:spacing w:after="0" w:line="240" w:lineRule="auto"/>
      </w:pPr>
      <w:r>
        <w:separator/>
      </w:r>
    </w:p>
  </w:endnote>
  <w:endnote w:type="continuationSeparator" w:id="0">
    <w:p w14:paraId="34B7D322" w14:textId="77777777" w:rsidR="007F7EC5" w:rsidRDefault="007F7EC5" w:rsidP="004C4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2600F" w14:textId="77777777" w:rsidR="007F7EC5" w:rsidRDefault="007F7EC5" w:rsidP="004C4449">
      <w:pPr>
        <w:spacing w:after="0" w:line="240" w:lineRule="auto"/>
      </w:pPr>
      <w:r>
        <w:separator/>
      </w:r>
    </w:p>
  </w:footnote>
  <w:footnote w:type="continuationSeparator" w:id="0">
    <w:p w14:paraId="62CAE550" w14:textId="77777777" w:rsidR="007F7EC5" w:rsidRDefault="007F7EC5" w:rsidP="004C4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8"/>
        <w:szCs w:val="28"/>
      </w:rPr>
      <w:id w:val="141323660"/>
      <w:docPartObj>
        <w:docPartGallery w:val="Page Numbers (Top of Page)"/>
        <w:docPartUnique/>
      </w:docPartObj>
    </w:sdtPr>
    <w:sdtEndPr>
      <w:rPr>
        <w:noProof/>
      </w:rPr>
    </w:sdtEndPr>
    <w:sdtContent>
      <w:p w14:paraId="1E81E482" w14:textId="19559B60" w:rsidR="009071B4" w:rsidRPr="009071B4" w:rsidRDefault="009071B4">
        <w:pPr>
          <w:pStyle w:val="Header"/>
          <w:jc w:val="center"/>
          <w:rPr>
            <w:rFonts w:ascii="Times New Roman" w:hAnsi="Times New Roman" w:cs="Times New Roman"/>
            <w:sz w:val="28"/>
            <w:szCs w:val="28"/>
          </w:rPr>
        </w:pPr>
        <w:r w:rsidRPr="009071B4">
          <w:rPr>
            <w:rFonts w:ascii="Times New Roman" w:hAnsi="Times New Roman" w:cs="Times New Roman"/>
            <w:sz w:val="28"/>
            <w:szCs w:val="28"/>
          </w:rPr>
          <w:fldChar w:fldCharType="begin"/>
        </w:r>
        <w:r w:rsidRPr="009071B4">
          <w:rPr>
            <w:rFonts w:ascii="Times New Roman" w:hAnsi="Times New Roman" w:cs="Times New Roman"/>
            <w:sz w:val="28"/>
            <w:szCs w:val="28"/>
          </w:rPr>
          <w:instrText xml:space="preserve"> PAGE   \* MERGEFORMAT </w:instrText>
        </w:r>
        <w:r w:rsidRPr="009071B4">
          <w:rPr>
            <w:rFonts w:ascii="Times New Roman" w:hAnsi="Times New Roman" w:cs="Times New Roman"/>
            <w:sz w:val="28"/>
            <w:szCs w:val="28"/>
          </w:rPr>
          <w:fldChar w:fldCharType="separate"/>
        </w:r>
        <w:r w:rsidRPr="009071B4">
          <w:rPr>
            <w:rFonts w:ascii="Times New Roman" w:hAnsi="Times New Roman" w:cs="Times New Roman"/>
            <w:noProof/>
            <w:sz w:val="28"/>
            <w:szCs w:val="28"/>
          </w:rPr>
          <w:t>2</w:t>
        </w:r>
        <w:r w:rsidRPr="009071B4">
          <w:rPr>
            <w:rFonts w:ascii="Times New Roman" w:hAnsi="Times New Roman" w:cs="Times New Roman"/>
            <w:noProof/>
            <w:sz w:val="28"/>
            <w:szCs w:val="28"/>
          </w:rPr>
          <w:fldChar w:fldCharType="end"/>
        </w:r>
      </w:p>
    </w:sdtContent>
  </w:sdt>
  <w:p w14:paraId="1F8D48F4" w14:textId="77777777" w:rsidR="009071B4" w:rsidRDefault="009071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162091"/>
      <w:docPartObj>
        <w:docPartGallery w:val="Page Numbers (Top of Page)"/>
        <w:docPartUnique/>
      </w:docPartObj>
    </w:sdtPr>
    <w:sdtEndPr>
      <w:rPr>
        <w:rFonts w:ascii="Times New Roman" w:hAnsi="Times New Roman" w:cs="Times New Roman"/>
        <w:noProof/>
        <w:sz w:val="28"/>
        <w:szCs w:val="28"/>
      </w:rPr>
    </w:sdtEndPr>
    <w:sdtContent>
      <w:p w14:paraId="55D10624" w14:textId="2176DCCD" w:rsidR="009071B4" w:rsidRPr="009071B4" w:rsidRDefault="009071B4">
        <w:pPr>
          <w:pStyle w:val="Header"/>
          <w:jc w:val="center"/>
          <w:rPr>
            <w:rFonts w:ascii="Times New Roman" w:hAnsi="Times New Roman" w:cs="Times New Roman"/>
            <w:sz w:val="28"/>
            <w:szCs w:val="28"/>
          </w:rPr>
        </w:pPr>
        <w:r w:rsidRPr="009071B4">
          <w:rPr>
            <w:rFonts w:ascii="Times New Roman" w:hAnsi="Times New Roman" w:cs="Times New Roman"/>
            <w:sz w:val="28"/>
            <w:szCs w:val="28"/>
          </w:rPr>
          <w:fldChar w:fldCharType="begin"/>
        </w:r>
        <w:r w:rsidRPr="009071B4">
          <w:rPr>
            <w:rFonts w:ascii="Times New Roman" w:hAnsi="Times New Roman" w:cs="Times New Roman"/>
            <w:sz w:val="28"/>
            <w:szCs w:val="28"/>
          </w:rPr>
          <w:instrText xml:space="preserve"> PAGE   \* MERGEFORMAT </w:instrText>
        </w:r>
        <w:r w:rsidRPr="009071B4">
          <w:rPr>
            <w:rFonts w:ascii="Times New Roman" w:hAnsi="Times New Roman" w:cs="Times New Roman"/>
            <w:sz w:val="28"/>
            <w:szCs w:val="28"/>
          </w:rPr>
          <w:fldChar w:fldCharType="separate"/>
        </w:r>
        <w:r w:rsidRPr="009071B4">
          <w:rPr>
            <w:rFonts w:ascii="Times New Roman" w:hAnsi="Times New Roman" w:cs="Times New Roman"/>
            <w:noProof/>
            <w:sz w:val="28"/>
            <w:szCs w:val="28"/>
          </w:rPr>
          <w:t>2</w:t>
        </w:r>
        <w:r w:rsidRPr="009071B4">
          <w:rPr>
            <w:rFonts w:ascii="Times New Roman" w:hAnsi="Times New Roman" w:cs="Times New Roman"/>
            <w:noProof/>
            <w:sz w:val="28"/>
            <w:szCs w:val="28"/>
          </w:rPr>
          <w:fldChar w:fldCharType="end"/>
        </w:r>
      </w:p>
    </w:sdtContent>
  </w:sdt>
  <w:p w14:paraId="494672CC" w14:textId="77777777" w:rsidR="00BE4A6B" w:rsidRDefault="00BE4A6B" w:rsidP="00056CCD">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D11AC"/>
    <w:multiLevelType w:val="multilevel"/>
    <w:tmpl w:val="4ADA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01458B"/>
    <w:multiLevelType w:val="multilevel"/>
    <w:tmpl w:val="484C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91963"/>
    <w:multiLevelType w:val="multilevel"/>
    <w:tmpl w:val="416C2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C05CE"/>
    <w:multiLevelType w:val="multilevel"/>
    <w:tmpl w:val="C234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B064F"/>
    <w:multiLevelType w:val="multilevel"/>
    <w:tmpl w:val="437C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0D6834"/>
    <w:multiLevelType w:val="multilevel"/>
    <w:tmpl w:val="E5E6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B554D5"/>
    <w:multiLevelType w:val="multilevel"/>
    <w:tmpl w:val="93BA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7870A3"/>
    <w:multiLevelType w:val="multilevel"/>
    <w:tmpl w:val="F94C7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4CE1150"/>
    <w:multiLevelType w:val="multilevel"/>
    <w:tmpl w:val="9E244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744139"/>
    <w:multiLevelType w:val="multilevel"/>
    <w:tmpl w:val="B3B0D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46018">
    <w:abstractNumId w:val="2"/>
  </w:num>
  <w:num w:numId="2" w16cid:durableId="1932541874">
    <w:abstractNumId w:val="4"/>
  </w:num>
  <w:num w:numId="3" w16cid:durableId="1333142566">
    <w:abstractNumId w:val="6"/>
  </w:num>
  <w:num w:numId="4" w16cid:durableId="1516382074">
    <w:abstractNumId w:val="0"/>
  </w:num>
  <w:num w:numId="5" w16cid:durableId="1576165127">
    <w:abstractNumId w:val="5"/>
  </w:num>
  <w:num w:numId="6" w16cid:durableId="679703193">
    <w:abstractNumId w:val="9"/>
  </w:num>
  <w:num w:numId="7" w16cid:durableId="1519544009">
    <w:abstractNumId w:val="7"/>
  </w:num>
  <w:num w:numId="8" w16cid:durableId="1906407147">
    <w:abstractNumId w:val="8"/>
  </w:num>
  <w:num w:numId="9" w16cid:durableId="1185754963">
    <w:abstractNumId w:val="3"/>
  </w:num>
  <w:num w:numId="10" w16cid:durableId="97415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912"/>
    <w:rsid w:val="00044E8E"/>
    <w:rsid w:val="00056CCD"/>
    <w:rsid w:val="00062388"/>
    <w:rsid w:val="0008251E"/>
    <w:rsid w:val="000D525E"/>
    <w:rsid w:val="001140E8"/>
    <w:rsid w:val="0015499F"/>
    <w:rsid w:val="00163815"/>
    <w:rsid w:val="001709B6"/>
    <w:rsid w:val="001945E4"/>
    <w:rsid w:val="001C2249"/>
    <w:rsid w:val="001C3E9C"/>
    <w:rsid w:val="001D6BBF"/>
    <w:rsid w:val="001E233A"/>
    <w:rsid w:val="001F2A19"/>
    <w:rsid w:val="002162F8"/>
    <w:rsid w:val="00231272"/>
    <w:rsid w:val="00246EEC"/>
    <w:rsid w:val="00251D93"/>
    <w:rsid w:val="00297FF5"/>
    <w:rsid w:val="002C389D"/>
    <w:rsid w:val="002E2352"/>
    <w:rsid w:val="003124B4"/>
    <w:rsid w:val="003137A6"/>
    <w:rsid w:val="00320173"/>
    <w:rsid w:val="003322C4"/>
    <w:rsid w:val="00375578"/>
    <w:rsid w:val="00375662"/>
    <w:rsid w:val="00382D86"/>
    <w:rsid w:val="00384E05"/>
    <w:rsid w:val="003A021C"/>
    <w:rsid w:val="003A52CC"/>
    <w:rsid w:val="003A73CE"/>
    <w:rsid w:val="003F7626"/>
    <w:rsid w:val="00462309"/>
    <w:rsid w:val="00473A89"/>
    <w:rsid w:val="00492B43"/>
    <w:rsid w:val="004A574B"/>
    <w:rsid w:val="004C4449"/>
    <w:rsid w:val="005124FE"/>
    <w:rsid w:val="00535A3B"/>
    <w:rsid w:val="00541294"/>
    <w:rsid w:val="00590E4E"/>
    <w:rsid w:val="005C5303"/>
    <w:rsid w:val="005C7D9C"/>
    <w:rsid w:val="006062C4"/>
    <w:rsid w:val="00612B8D"/>
    <w:rsid w:val="0061763A"/>
    <w:rsid w:val="0064104A"/>
    <w:rsid w:val="006620CA"/>
    <w:rsid w:val="00677635"/>
    <w:rsid w:val="006B7861"/>
    <w:rsid w:val="006D77F3"/>
    <w:rsid w:val="006E14CB"/>
    <w:rsid w:val="006E4360"/>
    <w:rsid w:val="0072774D"/>
    <w:rsid w:val="00752152"/>
    <w:rsid w:val="0077706B"/>
    <w:rsid w:val="007B66CC"/>
    <w:rsid w:val="007F7EC5"/>
    <w:rsid w:val="008045BB"/>
    <w:rsid w:val="008210B2"/>
    <w:rsid w:val="008D583C"/>
    <w:rsid w:val="008E3D58"/>
    <w:rsid w:val="00905381"/>
    <w:rsid w:val="009071B4"/>
    <w:rsid w:val="00934293"/>
    <w:rsid w:val="0094570A"/>
    <w:rsid w:val="009C2322"/>
    <w:rsid w:val="009C6C9C"/>
    <w:rsid w:val="009E1068"/>
    <w:rsid w:val="00A02035"/>
    <w:rsid w:val="00A4789F"/>
    <w:rsid w:val="00A914A5"/>
    <w:rsid w:val="00AB6674"/>
    <w:rsid w:val="00AB67FA"/>
    <w:rsid w:val="00AC312C"/>
    <w:rsid w:val="00AE4CA4"/>
    <w:rsid w:val="00B34ED9"/>
    <w:rsid w:val="00B85D56"/>
    <w:rsid w:val="00B86168"/>
    <w:rsid w:val="00BC2599"/>
    <w:rsid w:val="00BC6FA2"/>
    <w:rsid w:val="00BE4A6B"/>
    <w:rsid w:val="00BF471E"/>
    <w:rsid w:val="00C45A23"/>
    <w:rsid w:val="00C52460"/>
    <w:rsid w:val="00C8226B"/>
    <w:rsid w:val="00D01053"/>
    <w:rsid w:val="00D05E61"/>
    <w:rsid w:val="00D15F0D"/>
    <w:rsid w:val="00D429A2"/>
    <w:rsid w:val="00D464EE"/>
    <w:rsid w:val="00D51912"/>
    <w:rsid w:val="00D66CD6"/>
    <w:rsid w:val="00D9006A"/>
    <w:rsid w:val="00D901EF"/>
    <w:rsid w:val="00E00E92"/>
    <w:rsid w:val="00E145DD"/>
    <w:rsid w:val="00E23A71"/>
    <w:rsid w:val="00E337B9"/>
    <w:rsid w:val="00E5149C"/>
    <w:rsid w:val="00E57709"/>
    <w:rsid w:val="00E77C86"/>
    <w:rsid w:val="00EA210D"/>
    <w:rsid w:val="00ED2D8F"/>
    <w:rsid w:val="00ED6258"/>
    <w:rsid w:val="00EE2652"/>
    <w:rsid w:val="00EF7BB6"/>
    <w:rsid w:val="00F1545D"/>
    <w:rsid w:val="00F218B9"/>
    <w:rsid w:val="00F7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1326"/>
  <w15:chartTrackingRefBased/>
  <w15:docId w15:val="{69E52FBD-C1CD-48A2-95DB-4ECCFD1D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9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19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191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19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19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19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19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19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19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9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19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19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19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19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19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19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19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1912"/>
    <w:rPr>
      <w:rFonts w:eastAsiaTheme="majorEastAsia" w:cstheme="majorBidi"/>
      <w:color w:val="272727" w:themeColor="text1" w:themeTint="D8"/>
    </w:rPr>
  </w:style>
  <w:style w:type="paragraph" w:styleId="Title">
    <w:name w:val="Title"/>
    <w:basedOn w:val="Normal"/>
    <w:next w:val="Normal"/>
    <w:link w:val="TitleChar"/>
    <w:uiPriority w:val="10"/>
    <w:qFormat/>
    <w:rsid w:val="00D519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9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9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9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1912"/>
    <w:pPr>
      <w:spacing w:before="160"/>
      <w:jc w:val="center"/>
    </w:pPr>
    <w:rPr>
      <w:i/>
      <w:iCs/>
      <w:color w:val="404040" w:themeColor="text1" w:themeTint="BF"/>
    </w:rPr>
  </w:style>
  <w:style w:type="character" w:customStyle="1" w:styleId="QuoteChar">
    <w:name w:val="Quote Char"/>
    <w:basedOn w:val="DefaultParagraphFont"/>
    <w:link w:val="Quote"/>
    <w:uiPriority w:val="29"/>
    <w:rsid w:val="00D51912"/>
    <w:rPr>
      <w:i/>
      <w:iCs/>
      <w:color w:val="404040" w:themeColor="text1" w:themeTint="BF"/>
    </w:rPr>
  </w:style>
  <w:style w:type="paragraph" w:styleId="ListParagraph">
    <w:name w:val="List Paragraph"/>
    <w:basedOn w:val="Normal"/>
    <w:uiPriority w:val="34"/>
    <w:qFormat/>
    <w:rsid w:val="00D51912"/>
    <w:pPr>
      <w:ind w:left="720"/>
      <w:contextualSpacing/>
    </w:pPr>
  </w:style>
  <w:style w:type="character" w:styleId="IntenseEmphasis">
    <w:name w:val="Intense Emphasis"/>
    <w:basedOn w:val="DefaultParagraphFont"/>
    <w:uiPriority w:val="21"/>
    <w:qFormat/>
    <w:rsid w:val="00D51912"/>
    <w:rPr>
      <w:i/>
      <w:iCs/>
      <w:color w:val="2F5496" w:themeColor="accent1" w:themeShade="BF"/>
    </w:rPr>
  </w:style>
  <w:style w:type="paragraph" w:styleId="IntenseQuote">
    <w:name w:val="Intense Quote"/>
    <w:basedOn w:val="Normal"/>
    <w:next w:val="Normal"/>
    <w:link w:val="IntenseQuoteChar"/>
    <w:uiPriority w:val="30"/>
    <w:qFormat/>
    <w:rsid w:val="00D519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912"/>
    <w:rPr>
      <w:i/>
      <w:iCs/>
      <w:color w:val="2F5496" w:themeColor="accent1" w:themeShade="BF"/>
    </w:rPr>
  </w:style>
  <w:style w:type="character" w:styleId="IntenseReference">
    <w:name w:val="Intense Reference"/>
    <w:basedOn w:val="DefaultParagraphFont"/>
    <w:uiPriority w:val="32"/>
    <w:qFormat/>
    <w:rsid w:val="00D51912"/>
    <w:rPr>
      <w:b/>
      <w:bCs/>
      <w:smallCaps/>
      <w:color w:val="2F5496" w:themeColor="accent1" w:themeShade="BF"/>
      <w:spacing w:val="5"/>
    </w:rPr>
  </w:style>
  <w:style w:type="table" w:styleId="TableGrid">
    <w:name w:val="Table Grid"/>
    <w:basedOn w:val="TableNormal"/>
    <w:uiPriority w:val="39"/>
    <w:rsid w:val="00E23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23A71"/>
    <w:rPr>
      <w:b/>
      <w:bCs/>
    </w:rPr>
  </w:style>
  <w:style w:type="paragraph" w:styleId="Header">
    <w:name w:val="header"/>
    <w:basedOn w:val="Normal"/>
    <w:link w:val="HeaderChar"/>
    <w:uiPriority w:val="99"/>
    <w:unhideWhenUsed/>
    <w:rsid w:val="004C44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4449"/>
  </w:style>
  <w:style w:type="paragraph" w:styleId="Footer">
    <w:name w:val="footer"/>
    <w:basedOn w:val="Normal"/>
    <w:link w:val="FooterChar"/>
    <w:uiPriority w:val="99"/>
    <w:unhideWhenUsed/>
    <w:rsid w:val="004C44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4449"/>
  </w:style>
  <w:style w:type="paragraph" w:styleId="NormalWeb">
    <w:name w:val="Normal (Web)"/>
    <w:basedOn w:val="Normal"/>
    <w:uiPriority w:val="99"/>
    <w:semiHidden/>
    <w:unhideWhenUsed/>
    <w:rsid w:val="00251D93"/>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3884">
      <w:bodyDiv w:val="1"/>
      <w:marLeft w:val="0"/>
      <w:marRight w:val="0"/>
      <w:marTop w:val="0"/>
      <w:marBottom w:val="0"/>
      <w:divBdr>
        <w:top w:val="none" w:sz="0" w:space="0" w:color="auto"/>
        <w:left w:val="none" w:sz="0" w:space="0" w:color="auto"/>
        <w:bottom w:val="none" w:sz="0" w:space="0" w:color="auto"/>
        <w:right w:val="none" w:sz="0" w:space="0" w:color="auto"/>
      </w:divBdr>
    </w:div>
    <w:div w:id="337780326">
      <w:bodyDiv w:val="1"/>
      <w:marLeft w:val="0"/>
      <w:marRight w:val="0"/>
      <w:marTop w:val="0"/>
      <w:marBottom w:val="0"/>
      <w:divBdr>
        <w:top w:val="none" w:sz="0" w:space="0" w:color="auto"/>
        <w:left w:val="none" w:sz="0" w:space="0" w:color="auto"/>
        <w:bottom w:val="none" w:sz="0" w:space="0" w:color="auto"/>
        <w:right w:val="none" w:sz="0" w:space="0" w:color="auto"/>
      </w:divBdr>
    </w:div>
    <w:div w:id="408619567">
      <w:bodyDiv w:val="1"/>
      <w:marLeft w:val="0"/>
      <w:marRight w:val="0"/>
      <w:marTop w:val="0"/>
      <w:marBottom w:val="0"/>
      <w:divBdr>
        <w:top w:val="none" w:sz="0" w:space="0" w:color="auto"/>
        <w:left w:val="none" w:sz="0" w:space="0" w:color="auto"/>
        <w:bottom w:val="none" w:sz="0" w:space="0" w:color="auto"/>
        <w:right w:val="none" w:sz="0" w:space="0" w:color="auto"/>
      </w:divBdr>
    </w:div>
    <w:div w:id="417561930">
      <w:bodyDiv w:val="1"/>
      <w:marLeft w:val="0"/>
      <w:marRight w:val="0"/>
      <w:marTop w:val="0"/>
      <w:marBottom w:val="0"/>
      <w:divBdr>
        <w:top w:val="none" w:sz="0" w:space="0" w:color="auto"/>
        <w:left w:val="none" w:sz="0" w:space="0" w:color="auto"/>
        <w:bottom w:val="none" w:sz="0" w:space="0" w:color="auto"/>
        <w:right w:val="none" w:sz="0" w:space="0" w:color="auto"/>
      </w:divBdr>
    </w:div>
    <w:div w:id="437413094">
      <w:bodyDiv w:val="1"/>
      <w:marLeft w:val="0"/>
      <w:marRight w:val="0"/>
      <w:marTop w:val="0"/>
      <w:marBottom w:val="0"/>
      <w:divBdr>
        <w:top w:val="none" w:sz="0" w:space="0" w:color="auto"/>
        <w:left w:val="none" w:sz="0" w:space="0" w:color="auto"/>
        <w:bottom w:val="none" w:sz="0" w:space="0" w:color="auto"/>
        <w:right w:val="none" w:sz="0" w:space="0" w:color="auto"/>
      </w:divBdr>
    </w:div>
    <w:div w:id="676617419">
      <w:bodyDiv w:val="1"/>
      <w:marLeft w:val="0"/>
      <w:marRight w:val="0"/>
      <w:marTop w:val="0"/>
      <w:marBottom w:val="0"/>
      <w:divBdr>
        <w:top w:val="none" w:sz="0" w:space="0" w:color="auto"/>
        <w:left w:val="none" w:sz="0" w:space="0" w:color="auto"/>
        <w:bottom w:val="none" w:sz="0" w:space="0" w:color="auto"/>
        <w:right w:val="none" w:sz="0" w:space="0" w:color="auto"/>
      </w:divBdr>
    </w:div>
    <w:div w:id="826703161">
      <w:bodyDiv w:val="1"/>
      <w:marLeft w:val="0"/>
      <w:marRight w:val="0"/>
      <w:marTop w:val="0"/>
      <w:marBottom w:val="0"/>
      <w:divBdr>
        <w:top w:val="none" w:sz="0" w:space="0" w:color="auto"/>
        <w:left w:val="none" w:sz="0" w:space="0" w:color="auto"/>
        <w:bottom w:val="none" w:sz="0" w:space="0" w:color="auto"/>
        <w:right w:val="none" w:sz="0" w:space="0" w:color="auto"/>
      </w:divBdr>
    </w:div>
    <w:div w:id="1162353273">
      <w:bodyDiv w:val="1"/>
      <w:marLeft w:val="0"/>
      <w:marRight w:val="0"/>
      <w:marTop w:val="0"/>
      <w:marBottom w:val="0"/>
      <w:divBdr>
        <w:top w:val="none" w:sz="0" w:space="0" w:color="auto"/>
        <w:left w:val="none" w:sz="0" w:space="0" w:color="auto"/>
        <w:bottom w:val="none" w:sz="0" w:space="0" w:color="auto"/>
        <w:right w:val="none" w:sz="0" w:space="0" w:color="auto"/>
      </w:divBdr>
    </w:div>
    <w:div w:id="1219246138">
      <w:bodyDiv w:val="1"/>
      <w:marLeft w:val="0"/>
      <w:marRight w:val="0"/>
      <w:marTop w:val="0"/>
      <w:marBottom w:val="0"/>
      <w:divBdr>
        <w:top w:val="none" w:sz="0" w:space="0" w:color="auto"/>
        <w:left w:val="none" w:sz="0" w:space="0" w:color="auto"/>
        <w:bottom w:val="none" w:sz="0" w:space="0" w:color="auto"/>
        <w:right w:val="none" w:sz="0" w:space="0" w:color="auto"/>
      </w:divBdr>
    </w:div>
    <w:div w:id="1442382543">
      <w:bodyDiv w:val="1"/>
      <w:marLeft w:val="0"/>
      <w:marRight w:val="0"/>
      <w:marTop w:val="0"/>
      <w:marBottom w:val="0"/>
      <w:divBdr>
        <w:top w:val="none" w:sz="0" w:space="0" w:color="auto"/>
        <w:left w:val="none" w:sz="0" w:space="0" w:color="auto"/>
        <w:bottom w:val="none" w:sz="0" w:space="0" w:color="auto"/>
        <w:right w:val="none" w:sz="0" w:space="0" w:color="auto"/>
      </w:divBdr>
    </w:div>
    <w:div w:id="2062897624">
      <w:bodyDiv w:val="1"/>
      <w:marLeft w:val="0"/>
      <w:marRight w:val="0"/>
      <w:marTop w:val="0"/>
      <w:marBottom w:val="0"/>
      <w:divBdr>
        <w:top w:val="none" w:sz="0" w:space="0" w:color="auto"/>
        <w:left w:val="none" w:sz="0" w:space="0" w:color="auto"/>
        <w:bottom w:val="none" w:sz="0" w:space="0" w:color="auto"/>
        <w:right w:val="none" w:sz="0" w:space="0" w:color="auto"/>
      </w:divBdr>
      <w:divsChild>
        <w:div w:id="1165124838">
          <w:marLeft w:val="0"/>
          <w:marRight w:val="0"/>
          <w:marTop w:val="0"/>
          <w:marBottom w:val="0"/>
          <w:divBdr>
            <w:top w:val="none" w:sz="0" w:space="0" w:color="auto"/>
            <w:left w:val="none" w:sz="0" w:space="0" w:color="auto"/>
            <w:bottom w:val="none" w:sz="0" w:space="0" w:color="auto"/>
            <w:right w:val="none" w:sz="0" w:space="0" w:color="auto"/>
          </w:divBdr>
          <w:divsChild>
            <w:div w:id="837429289">
              <w:marLeft w:val="0"/>
              <w:marRight w:val="0"/>
              <w:marTop w:val="0"/>
              <w:marBottom w:val="0"/>
              <w:divBdr>
                <w:top w:val="none" w:sz="0" w:space="0" w:color="auto"/>
                <w:left w:val="none" w:sz="0" w:space="0" w:color="auto"/>
                <w:bottom w:val="none" w:sz="0" w:space="0" w:color="auto"/>
                <w:right w:val="none" w:sz="0" w:space="0" w:color="auto"/>
              </w:divBdr>
              <w:divsChild>
                <w:div w:id="296954470">
                  <w:marLeft w:val="0"/>
                  <w:marRight w:val="0"/>
                  <w:marTop w:val="0"/>
                  <w:marBottom w:val="0"/>
                  <w:divBdr>
                    <w:top w:val="none" w:sz="0" w:space="0" w:color="auto"/>
                    <w:left w:val="none" w:sz="0" w:space="0" w:color="auto"/>
                    <w:bottom w:val="none" w:sz="0" w:space="0" w:color="auto"/>
                    <w:right w:val="none" w:sz="0" w:space="0" w:color="auto"/>
                  </w:divBdr>
                  <w:divsChild>
                    <w:div w:id="42564807">
                      <w:marLeft w:val="0"/>
                      <w:marRight w:val="0"/>
                      <w:marTop w:val="0"/>
                      <w:marBottom w:val="0"/>
                      <w:divBdr>
                        <w:top w:val="none" w:sz="0" w:space="0" w:color="auto"/>
                        <w:left w:val="none" w:sz="0" w:space="0" w:color="auto"/>
                        <w:bottom w:val="none" w:sz="0" w:space="0" w:color="auto"/>
                        <w:right w:val="none" w:sz="0" w:space="0" w:color="auto"/>
                      </w:divBdr>
                      <w:divsChild>
                        <w:div w:id="139005076">
                          <w:marLeft w:val="0"/>
                          <w:marRight w:val="0"/>
                          <w:marTop w:val="0"/>
                          <w:marBottom w:val="0"/>
                          <w:divBdr>
                            <w:top w:val="none" w:sz="0" w:space="0" w:color="auto"/>
                            <w:left w:val="none" w:sz="0" w:space="0" w:color="auto"/>
                            <w:bottom w:val="none" w:sz="0" w:space="0" w:color="auto"/>
                            <w:right w:val="none" w:sz="0" w:space="0" w:color="auto"/>
                          </w:divBdr>
                          <w:divsChild>
                            <w:div w:id="16414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18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8882</Words>
  <Characters>50628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2025-09-15T01:29:00Z</dcterms:created>
  <dcterms:modified xsi:type="dcterms:W3CDTF">2025-09-15T03:20:00Z</dcterms:modified>
</cp:coreProperties>
</file>